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Project Title: Empowering Futures - expanding Human Uplift Trust (HUT) Vidhyashram with a English medium school</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Proposal for </w:t>
      </w:r>
      <w:r w:rsidDel="00000000" w:rsidR="00000000" w:rsidRPr="00000000">
        <w:rPr>
          <w:rtl w:val="0"/>
        </w:rPr>
        <w:t xml:space="preserve">one-time grant to support the construction of </w:t>
      </w:r>
      <w:r w:rsidDel="00000000" w:rsidR="00000000" w:rsidRPr="00000000">
        <w:rPr>
          <w:b w:val="1"/>
          <w:bCs w:val="1"/>
          <w:rtl w:val="0"/>
        </w:rPr>
        <w:t xml:space="preserve">one educational classroom of 400 sq ft</w:t>
      </w:r>
      <w:r w:rsidDel="00000000" w:rsidR="00000000" w:rsidRPr="00000000">
        <w:rPr>
          <w:rtl w:val="0"/>
        </w:rPr>
        <w:t xml:space="preserve"> in the English medium school being built.</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Project Summary</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b w:val="1"/>
          <w:bCs w:val="1"/>
          <w:rtl w:val="0"/>
        </w:rPr>
        <w:t xml:space="preserve">Goal:</w:t>
      </w:r>
      <w:r w:rsidDel="00000000" w:rsidR="00000000" w:rsidRPr="00000000">
        <w:rPr>
          <w:rtl w:val="0"/>
        </w:rPr>
        <w:t xml:space="preserve"> To strengthen educational access and quality for </w:t>
      </w:r>
      <w:r w:rsidDel="00000000" w:rsidR="00000000" w:rsidRPr="00000000">
        <w:rPr>
          <w:b w:val="1"/>
          <w:bCs w:val="1"/>
          <w:rtl w:val="0"/>
        </w:rPr>
        <w:t xml:space="preserve">HIV-affected and socially disadvantaged children</w:t>
      </w:r>
      <w:r w:rsidDel="00000000" w:rsidR="00000000" w:rsidRPr="00000000">
        <w:rPr>
          <w:rtl w:val="0"/>
        </w:rPr>
        <w:t xml:space="preserve"> at </w:t>
      </w:r>
      <w:r w:rsidDel="00000000" w:rsidR="00000000" w:rsidRPr="00000000">
        <w:rPr>
          <w:b w:val="1"/>
          <w:bCs w:val="1"/>
          <w:rtl w:val="0"/>
        </w:rPr>
        <w:t xml:space="preserve">Vidyashram - House of Hope</w:t>
      </w:r>
      <w:r w:rsidDel="00000000" w:rsidR="00000000" w:rsidRPr="00000000">
        <w:rPr>
          <w:rtl w:val="0"/>
        </w:rPr>
        <w:t xml:space="preserve">, a residential home and learning center run by HUT in Perambalur.</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b w:val="1"/>
          <w:bCs w:val="1"/>
          <w:rtl w:val="0"/>
        </w:rPr>
        <w:t xml:space="preserve">Need:</w:t>
      </w:r>
      <w:r w:rsidDel="00000000" w:rsidR="00000000" w:rsidRPr="00000000">
        <w:rPr>
          <w:rtl w:val="0"/>
        </w:rPr>
        <w:t xml:space="preserve"> Children from these vulnerable backgrounds often lack strong English-medium foundation, digital exposure, and structured school infrastructure, which limits their opportunities in higher education and employment. The case study of a student named Ranjith, who had to discontinue college due to the English language barrier, is highlighted as a turning point that led to this initiative.</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b w:val="1"/>
          <w:bCs w:val="1"/>
          <w:rtl w:val="0"/>
        </w:rPr>
        <w:t xml:space="preserve">Current Status &amp; Infrastructure Gap:</w:t>
      </w:r>
      <w:r w:rsidDel="00000000" w:rsidR="00000000" w:rsidRPr="00000000">
        <w:rPr>
          <w:rtl w:val="0"/>
        </w:rPr>
        <w:t xml:space="preserve"> Vidyashram currently cares for </w:t>
      </w:r>
      <w:r w:rsidDel="00000000" w:rsidR="00000000" w:rsidRPr="00000000">
        <w:rPr>
          <w:b w:val="1"/>
          <w:bCs w:val="1"/>
          <w:rtl w:val="0"/>
        </w:rPr>
        <w:t xml:space="preserve">85 resident children</w:t>
      </w:r>
      <w:r w:rsidDel="00000000" w:rsidR="00000000" w:rsidRPr="00000000">
        <w:rPr>
          <w:rtl w:val="0"/>
        </w:rPr>
        <w:t xml:space="preserve">. They have a long-term plan to develop a formal English-medium school on their campus to provide quality, stigma-free schooling. They have already constructed 4 classrooms and have 9 more under construction with funding from GIC Re CSR fund. This request for </w:t>
      </w:r>
      <w:r w:rsidDel="00000000" w:rsidR="00000000" w:rsidRPr="00000000">
        <w:rPr>
          <w:i w:val="1"/>
          <w:iCs w:val="1"/>
          <w:rtl w:val="0"/>
        </w:rPr>
        <w:t xml:space="preserve">one additional classroom</w:t>
      </w:r>
      <w:r w:rsidDel="00000000" w:rsidR="00000000" w:rsidRPr="00000000">
        <w:rPr>
          <w:rtl w:val="0"/>
        </w:rPr>
        <w:t xml:space="preserve"> is a crucial step towards completing the total of 14 required classrooms and other facilities needed to achieve </w:t>
      </w:r>
      <w:r w:rsidDel="00000000" w:rsidR="00000000" w:rsidRPr="00000000">
        <w:rPr>
          <w:b w:val="1"/>
          <w:bCs w:val="1"/>
          <w:rtl w:val="0"/>
        </w:rPr>
        <w:t xml:space="preserve">formal recognition under Tamil Nadu Matriculation norms</w:t>
      </w:r>
      <w:r w:rsidDel="00000000" w:rsidR="00000000" w:rsidRPr="00000000">
        <w:rPr>
          <w:rtl w:val="0"/>
        </w:rPr>
        <w:t xml:space="preserve">.</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bCs w:val="1"/>
          <w:rtl w:val="0"/>
        </w:rPr>
        <w:t xml:space="preserve">Support Requested:</w:t>
      </w:r>
      <w:r w:rsidDel="00000000" w:rsidR="00000000" w:rsidRPr="00000000">
        <w:rPr>
          <w:rtl w:val="0"/>
        </w:rPr>
        <w:t xml:space="preserve"> Construction of </w:t>
      </w:r>
      <w:r w:rsidDel="00000000" w:rsidR="00000000" w:rsidRPr="00000000">
        <w:rPr>
          <w:b w:val="1"/>
          <w:bCs w:val="1"/>
          <w:rtl w:val="0"/>
        </w:rPr>
        <w:t xml:space="preserve">one classroom</w:t>
      </w:r>
      <w:r w:rsidDel="00000000" w:rsidR="00000000" w:rsidRPr="00000000">
        <w:rPr>
          <w:rtl w:val="0"/>
        </w:rPr>
        <w:t xml:space="preserve"> of 400 sq ft, including furniture. The estimated total cost for this one classroom is </w:t>
      </w:r>
      <w:r w:rsidDel="00000000" w:rsidR="00000000" w:rsidRPr="00000000">
        <w:rPr>
          <w:b w:val="1"/>
          <w:bCs w:val="1"/>
          <w:rtl w:val="0"/>
        </w:rPr>
        <w:t xml:space="preserve">₹10,04,000</w:t>
      </w:r>
      <w:r w:rsidDel="00000000" w:rsidR="00000000" w:rsidRPr="00000000">
        <w:rPr>
          <w:rtl w:val="0"/>
        </w:rPr>
        <w:t xml:space="preserve"> (Ten lakhs four thousand only).</w:t>
      </w:r>
    </w:p>
    <w:p w:rsidR="00000000" w:rsidDel="00000000" w:rsidP="00000000" w:rsidRDefault="00000000" w:rsidRPr="00000000" w14:paraId="0000000A">
      <w:pPr>
        <w:numPr>
          <w:ilvl w:val="0"/>
          <w:numId w:val="4"/>
        </w:numPr>
        <w:spacing w:after="240" w:before="0" w:beforeAutospacing="0" w:lineRule="auto"/>
        <w:ind w:left="720" w:hanging="360"/>
      </w:pPr>
      <w:r w:rsidDel="00000000" w:rsidR="00000000" w:rsidRPr="00000000">
        <w:rPr>
          <w:b w:val="1"/>
          <w:bCs w:val="1"/>
          <w:rtl w:val="0"/>
        </w:rPr>
        <w:t xml:space="preserve">Beneficiaries:</w:t>
      </w:r>
      <w:r w:rsidDel="00000000" w:rsidR="00000000" w:rsidRPr="00000000">
        <w:rPr>
          <w:rtl w:val="0"/>
        </w:rPr>
        <w:t xml:space="preserve"> Directly, </w:t>
      </w:r>
      <w:r w:rsidDel="00000000" w:rsidR="00000000" w:rsidRPr="00000000">
        <w:rPr>
          <w:b w:val="1"/>
          <w:bCs w:val="1"/>
          <w:rtl w:val="0"/>
        </w:rPr>
        <w:t xml:space="preserve">85 HIV-affected children</w:t>
      </w:r>
      <w:r w:rsidDel="00000000" w:rsidR="00000000" w:rsidRPr="00000000">
        <w:rPr>
          <w:rtl w:val="0"/>
        </w:rPr>
        <w:t xml:space="preserve"> (25 HIV-positive and 60 from HIV-affected families). In the long term, the school expects to extend its reach to </w:t>
      </w:r>
      <w:r w:rsidDel="00000000" w:rsidR="00000000" w:rsidRPr="00000000">
        <w:rPr>
          <w:b w:val="1"/>
          <w:bCs w:val="1"/>
          <w:rtl w:val="0"/>
        </w:rPr>
        <w:t xml:space="preserve">500 more children</w:t>
      </w:r>
      <w:r w:rsidDel="00000000" w:rsidR="00000000" w:rsidRPr="00000000">
        <w:rPr>
          <w:rtl w:val="0"/>
        </w:rPr>
        <w:t xml:space="preserve"> from nearby rural villages in the next five years.</w:t>
      </w:r>
    </w:p>
    <w:p w:rsidR="00000000" w:rsidDel="00000000" w:rsidP="00000000" w:rsidRDefault="00000000" w:rsidRPr="00000000" w14:paraId="0000000B">
      <w:pPr>
        <w:rPr>
          <w:b w:val="1"/>
          <w:bCs w:val="1"/>
        </w:rPr>
      </w:pPr>
      <w:r w:rsidDel="00000000" w:rsidR="00000000" w:rsidRPr="00000000">
        <w:rPr>
          <w:b w:val="1"/>
          <w:bCs w:val="1"/>
          <w:rtl w:val="0"/>
        </w:rPr>
        <w:t xml:space="preserve">Key Aspects of the Vision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broader vision for the school includes:</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tl w:val="0"/>
        </w:rPr>
        <w:t xml:space="preserve">A formal, structured </w:t>
      </w:r>
      <w:r w:rsidDel="00000000" w:rsidR="00000000" w:rsidRPr="00000000">
        <w:rPr>
          <w:b w:val="1"/>
          <w:bCs w:val="1"/>
          <w:rtl w:val="0"/>
        </w:rPr>
        <w:t xml:space="preserve">English-medium</w:t>
      </w:r>
      <w:r w:rsidDel="00000000" w:rsidR="00000000" w:rsidRPr="00000000">
        <w:rPr>
          <w:rtl w:val="0"/>
        </w:rPr>
        <w:t xml:space="preserve"> school system.</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bCs w:val="1"/>
          <w:rtl w:val="0"/>
        </w:rPr>
        <w:t xml:space="preserve">Digital learning</w:t>
      </w:r>
      <w:r w:rsidDel="00000000" w:rsidR="00000000" w:rsidRPr="00000000">
        <w:rPr>
          <w:rtl w:val="0"/>
        </w:rPr>
        <w:t xml:space="preserve"> tools and a computer lab to bridge the digital divide.</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Science laboratories, a library, and child-friendly learning spaces.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A safe, inclusive, and stigma-free environment.</w:t>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rtl w:val="0"/>
        </w:rPr>
        <w:t xml:space="preserve">Sustainable practices, including a proposed rooftop solar plant and water conservation systems.</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sz w:val="26"/>
          <w:szCs w:val="26"/>
        </w:rPr>
      </w:pPr>
      <w:r w:rsidDel="00000000" w:rsidR="00000000" w:rsidRPr="00000000">
        <w:rPr>
          <w:b w:val="1"/>
          <w:bCs w:val="1"/>
          <w:sz w:val="26"/>
          <w:szCs w:val="26"/>
          <w:rtl w:val="0"/>
        </w:rPr>
        <w:t xml:space="preserve">Institutional Background (Human Uplift Trust - HUT)</w:t>
      </w:r>
    </w:p>
    <w:p w:rsidR="00000000" w:rsidDel="00000000" w:rsidP="00000000" w:rsidRDefault="00000000" w:rsidRPr="00000000" w14:paraId="00000018">
      <w:pPr>
        <w:numPr>
          <w:ilvl w:val="0"/>
          <w:numId w:val="3"/>
        </w:numPr>
        <w:spacing w:after="0" w:afterAutospacing="0" w:before="240" w:lineRule="auto"/>
        <w:ind w:left="720" w:hanging="360"/>
        <w:rPr>
          <w:sz w:val="26"/>
          <w:szCs w:val="26"/>
        </w:rPr>
      </w:pPr>
      <w:r w:rsidDel="00000000" w:rsidR="00000000" w:rsidRPr="00000000">
        <w:rPr>
          <w:b w:val="1"/>
          <w:bCs w:val="1"/>
          <w:sz w:val="26"/>
          <w:szCs w:val="26"/>
          <w:rtl w:val="0"/>
        </w:rPr>
        <w:t xml:space="preserve">Established:</w:t>
      </w:r>
      <w:r w:rsidDel="00000000" w:rsidR="00000000" w:rsidRPr="00000000">
        <w:rPr>
          <w:sz w:val="26"/>
          <w:szCs w:val="26"/>
          <w:rtl w:val="0"/>
        </w:rPr>
        <w:t xml:space="preserve"> HUT was founded in 1987. Vidyashram, the children's home, was founded 18 years ago, around 2007, by Dr. Raja Venkatesh and his wife Dr. Indhra.</w:t>
      </w:r>
    </w:p>
    <w:p w:rsidR="00000000" w:rsidDel="00000000" w:rsidP="00000000" w:rsidRDefault="00000000" w:rsidRPr="00000000" w14:paraId="00000019">
      <w:pPr>
        <w:numPr>
          <w:ilvl w:val="0"/>
          <w:numId w:val="3"/>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Work:</w:t>
      </w:r>
      <w:r w:rsidDel="00000000" w:rsidR="00000000" w:rsidRPr="00000000">
        <w:rPr>
          <w:sz w:val="26"/>
          <w:szCs w:val="26"/>
          <w:rtl w:val="0"/>
        </w:rPr>
        <w:t xml:space="preserve"> For nearly two decades, Vidyashram has served as a residential home and learning environment for children affected by HIV, orphanhood, and severe socio-economic hardship.</w:t>
      </w:r>
    </w:p>
    <w:p w:rsidR="00000000" w:rsidDel="00000000" w:rsidP="00000000" w:rsidRDefault="00000000" w:rsidRPr="00000000" w14:paraId="0000001A">
      <w:pPr>
        <w:numPr>
          <w:ilvl w:val="0"/>
          <w:numId w:val="3"/>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Partnership with Asha for Education:</w:t>
      </w:r>
      <w:r w:rsidDel="00000000" w:rsidR="00000000" w:rsidRPr="00000000">
        <w:rPr>
          <w:sz w:val="26"/>
          <w:szCs w:val="26"/>
          <w:rtl w:val="0"/>
        </w:rPr>
        <w:t xml:space="preserve"> Asha for Education is noted as a long-standing partner who has supported Vidyashram for many years, including earlier educational expenses and classroom development.</w:t>
      </w:r>
    </w:p>
    <w:p w:rsidR="00000000" w:rsidDel="00000000" w:rsidP="00000000" w:rsidRDefault="00000000" w:rsidRPr="00000000" w14:paraId="0000001B">
      <w:pPr>
        <w:numPr>
          <w:ilvl w:val="0"/>
          <w:numId w:val="3"/>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Registrations and Certifications:</w:t>
      </w:r>
      <w:r w:rsidDel="00000000" w:rsidR="00000000" w:rsidRPr="00000000">
        <w:rPr>
          <w:sz w:val="26"/>
          <w:szCs w:val="26"/>
          <w:rtl w:val="0"/>
        </w:rPr>
        <w:t xml:space="preserve"> The document includes numerous registrations and certifications confirming the trust's legal status and compliance, such as:</w:t>
      </w:r>
    </w:p>
    <w:p w:rsidR="00000000" w:rsidDel="00000000" w:rsidP="00000000" w:rsidRDefault="00000000" w:rsidRPr="00000000" w14:paraId="0000001C">
      <w:pPr>
        <w:numPr>
          <w:ilvl w:val="1"/>
          <w:numId w:val="3"/>
        </w:numPr>
        <w:spacing w:after="0" w:afterAutospacing="0" w:before="0" w:beforeAutospacing="0" w:lineRule="auto"/>
        <w:ind w:left="1440" w:hanging="360"/>
        <w:rPr>
          <w:sz w:val="26"/>
          <w:szCs w:val="26"/>
        </w:rPr>
      </w:pPr>
      <w:r w:rsidDel="00000000" w:rsidR="00000000" w:rsidRPr="00000000">
        <w:rPr>
          <w:sz w:val="26"/>
          <w:szCs w:val="26"/>
          <w:rtl w:val="0"/>
        </w:rPr>
        <w:t xml:space="preserve">Trust Registration (1987, amended 2007).</w:t>
      </w:r>
    </w:p>
    <w:p w:rsidR="00000000" w:rsidDel="00000000" w:rsidP="00000000" w:rsidRDefault="00000000" w:rsidRPr="00000000" w14:paraId="0000001D">
      <w:pPr>
        <w:numPr>
          <w:ilvl w:val="1"/>
          <w:numId w:val="3"/>
        </w:numPr>
        <w:spacing w:after="0" w:afterAutospacing="0" w:before="0" w:beforeAutospacing="0" w:lineRule="auto"/>
        <w:ind w:left="1440" w:hanging="360"/>
        <w:rPr>
          <w:sz w:val="26"/>
          <w:szCs w:val="26"/>
        </w:rPr>
      </w:pPr>
      <w:r w:rsidDel="00000000" w:rsidR="00000000" w:rsidRPr="00000000">
        <w:rPr>
          <w:sz w:val="26"/>
          <w:szCs w:val="26"/>
          <w:rtl w:val="0"/>
        </w:rPr>
        <w:t xml:space="preserve">Income Tax Registrations (12A and 80G).</w:t>
      </w:r>
    </w:p>
    <w:p w:rsidR="00000000" w:rsidDel="00000000" w:rsidP="00000000" w:rsidRDefault="00000000" w:rsidRPr="00000000" w14:paraId="0000001E">
      <w:pPr>
        <w:numPr>
          <w:ilvl w:val="1"/>
          <w:numId w:val="3"/>
        </w:numPr>
        <w:spacing w:after="0" w:afterAutospacing="0" w:before="0" w:beforeAutospacing="0" w:lineRule="auto"/>
        <w:ind w:left="1440" w:hanging="360"/>
        <w:rPr>
          <w:sz w:val="26"/>
          <w:szCs w:val="26"/>
        </w:rPr>
      </w:pPr>
      <w:r w:rsidDel="00000000" w:rsidR="00000000" w:rsidRPr="00000000">
        <w:rPr>
          <w:sz w:val="26"/>
          <w:szCs w:val="26"/>
          <w:rtl w:val="0"/>
        </w:rPr>
        <w:t xml:space="preserve">FCRA Certificate (valid until 2028).</w:t>
      </w:r>
    </w:p>
    <w:p w:rsidR="00000000" w:rsidDel="00000000" w:rsidP="00000000" w:rsidRDefault="00000000" w:rsidRPr="00000000" w14:paraId="0000001F">
      <w:pPr>
        <w:numPr>
          <w:ilvl w:val="1"/>
          <w:numId w:val="3"/>
        </w:numPr>
        <w:spacing w:after="0" w:afterAutospacing="0" w:before="0" w:beforeAutospacing="0" w:lineRule="auto"/>
        <w:ind w:left="1440" w:hanging="360"/>
        <w:rPr>
          <w:sz w:val="26"/>
          <w:szCs w:val="26"/>
        </w:rPr>
      </w:pPr>
      <w:r w:rsidDel="00000000" w:rsidR="00000000" w:rsidRPr="00000000">
        <w:rPr>
          <w:sz w:val="26"/>
          <w:szCs w:val="26"/>
          <w:rtl w:val="0"/>
        </w:rPr>
        <w:t xml:space="preserve">CSR Registration (2023).</w:t>
      </w:r>
    </w:p>
    <w:p w:rsidR="00000000" w:rsidDel="00000000" w:rsidP="00000000" w:rsidRDefault="00000000" w:rsidRPr="00000000" w14:paraId="00000020">
      <w:pPr>
        <w:numPr>
          <w:ilvl w:val="1"/>
          <w:numId w:val="3"/>
        </w:numPr>
        <w:spacing w:after="240" w:before="0" w:beforeAutospacing="0" w:lineRule="auto"/>
        <w:ind w:left="1440" w:hanging="360"/>
        <w:rPr>
          <w:sz w:val="26"/>
          <w:szCs w:val="26"/>
        </w:rPr>
      </w:pPr>
      <w:r w:rsidDel="00000000" w:rsidR="00000000" w:rsidRPr="00000000">
        <w:rPr>
          <w:sz w:val="26"/>
          <w:szCs w:val="26"/>
          <w:rtl w:val="0"/>
        </w:rPr>
        <w:t xml:space="preserve">Building Stability and Safety Certificates from the District Collector and Fire/Health departments.</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rllqowx36zy" w:id="0"/>
      <w:bookmarkEnd w:id="0"/>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rr3vzj6m27ne" w:id="1"/>
      <w:bookmarkEnd w:id="1"/>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885di41jck46" w:id="2"/>
      <w:bookmarkEnd w:id="2"/>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c28xpx41rvx5" w:id="3"/>
      <w:bookmarkEnd w:id="3"/>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p9nx9gfrik5p" w:id="4"/>
      <w:bookmarkEnd w:id="4"/>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1reykjdgabh0" w:id="5"/>
      <w:bookmarkEnd w:id="5"/>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uffyufv6zav1" w:id="6"/>
      <w:bookmarkEnd w:id="6"/>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904htd581439" w:id="7"/>
      <w:bookmarkEnd w:id="7"/>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8ck7qlxacyr9" w:id="8"/>
      <w:bookmarkEnd w:id="8"/>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elk1j9pu8ufd" w:id="9"/>
      <w:bookmarkEnd w:id="9"/>
      <w:r w:rsidDel="00000000" w:rsidR="00000000" w:rsidRPr="00000000">
        <w:rPr>
          <w:b w:val="1"/>
          <w:bCs w:val="1"/>
          <w:color w:val="000000"/>
          <w:sz w:val="26"/>
          <w:szCs w:val="26"/>
          <w:rtl w:val="0"/>
        </w:rPr>
        <w:t xml:space="preserve">Case Study: Ranjith – A Dream Interrupted by Language Barriers</w:t>
      </w:r>
    </w:p>
    <w:p w:rsidR="00000000" w:rsidDel="00000000" w:rsidP="00000000" w:rsidRDefault="00000000" w:rsidRPr="00000000" w14:paraId="0000002B">
      <w:pPr>
        <w:numPr>
          <w:ilvl w:val="0"/>
          <w:numId w:val="2"/>
        </w:numPr>
        <w:spacing w:after="0" w:afterAutospacing="0" w:before="240" w:lineRule="auto"/>
        <w:ind w:left="720" w:hanging="360"/>
        <w:rPr>
          <w:sz w:val="26"/>
          <w:szCs w:val="26"/>
        </w:rPr>
      </w:pPr>
      <w:r w:rsidDel="00000000" w:rsidR="00000000" w:rsidRPr="00000000">
        <w:rPr>
          <w:b w:val="1"/>
          <w:bCs w:val="1"/>
          <w:sz w:val="26"/>
          <w:szCs w:val="26"/>
          <w:rtl w:val="0"/>
        </w:rPr>
        <w:t xml:space="preserve">Early Childhood and Survival:</w:t>
      </w:r>
      <w:r w:rsidDel="00000000" w:rsidR="00000000" w:rsidRPr="00000000">
        <w:rPr>
          <w:sz w:val="26"/>
          <w:szCs w:val="26"/>
          <w:rtl w:val="0"/>
        </w:rPr>
        <w:t xml:space="preserve"> Ranjith arrived at Vidyashram as a frightened six-year-old. Following his father's death from AIDS and his mother's inability to care for him while battling the same illness, he and his younger brother were left to survive on the streets. His early life was defined by extreme hardship, selling fish for a few rupees and spending cold nights without shelter.</w:t>
      </w:r>
    </w:p>
    <w:p w:rsidR="00000000" w:rsidDel="00000000" w:rsidP="00000000" w:rsidRDefault="00000000" w:rsidRPr="00000000" w14:paraId="0000002C">
      <w:pPr>
        <w:numPr>
          <w:ilvl w:val="0"/>
          <w:numId w:val="2"/>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Transformation at Vidyashram:</w:t>
      </w:r>
      <w:r w:rsidDel="00000000" w:rsidR="00000000" w:rsidRPr="00000000">
        <w:rPr>
          <w:sz w:val="26"/>
          <w:szCs w:val="26"/>
          <w:rtl w:val="0"/>
        </w:rPr>
        <w:t xml:space="preserve"> Upon being brought to the center, Ranjith experienced safety, regular meals, and medical care for the first time. He quickly demonstrated remarkable academic ability and a strong interest in mathematics and science.</w:t>
      </w:r>
    </w:p>
    <w:p w:rsidR="00000000" w:rsidDel="00000000" w:rsidP="00000000" w:rsidRDefault="00000000" w:rsidRPr="00000000" w14:paraId="0000002D">
      <w:pPr>
        <w:numPr>
          <w:ilvl w:val="0"/>
          <w:numId w:val="2"/>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Academic Excellence:</w:t>
      </w:r>
      <w:r w:rsidDel="00000000" w:rsidR="00000000" w:rsidRPr="00000000">
        <w:rPr>
          <w:sz w:val="26"/>
          <w:szCs w:val="26"/>
          <w:rtl w:val="0"/>
        </w:rPr>
        <w:t xml:space="preserve"> Ranjith consistently performed well, eventually securing excellent marks in his higher secondary examinations and achieving a school rank—a significant milestone for a child once living on the streets. He earned admission to a reputed college in Trichy for higher education.</w:t>
      </w:r>
    </w:p>
    <w:p w:rsidR="00000000" w:rsidDel="00000000" w:rsidP="00000000" w:rsidRDefault="00000000" w:rsidRPr="00000000" w14:paraId="0000002E">
      <w:pPr>
        <w:numPr>
          <w:ilvl w:val="0"/>
          <w:numId w:val="2"/>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The Turning Point:</w:t>
      </w:r>
      <w:r w:rsidDel="00000000" w:rsidR="00000000" w:rsidRPr="00000000">
        <w:rPr>
          <w:sz w:val="26"/>
          <w:szCs w:val="26"/>
          <w:rtl w:val="0"/>
        </w:rPr>
        <w:t xml:space="preserve"> Despite his intelligence and work ethic, Ranjith faced a critical barrier in college. Having studied entirely in a Tamil-medium environment during his early years, he struggled to cope with instruction and materials provided in English. This foundational language gap proved insurmountable, and he was forced to discontinue his college education.</w:t>
      </w:r>
    </w:p>
    <w:p w:rsidR="00000000" w:rsidDel="00000000" w:rsidP="00000000" w:rsidRDefault="00000000" w:rsidRPr="00000000" w14:paraId="0000002F">
      <w:pPr>
        <w:numPr>
          <w:ilvl w:val="0"/>
          <w:numId w:val="2"/>
        </w:numPr>
        <w:spacing w:after="240" w:before="0" w:beforeAutospacing="0" w:lineRule="auto"/>
        <w:ind w:left="720" w:hanging="360"/>
        <w:rPr>
          <w:sz w:val="26"/>
          <w:szCs w:val="26"/>
        </w:rPr>
      </w:pPr>
      <w:r w:rsidDel="00000000" w:rsidR="00000000" w:rsidRPr="00000000">
        <w:rPr>
          <w:b w:val="1"/>
          <w:bCs w:val="1"/>
          <w:sz w:val="26"/>
          <w:szCs w:val="26"/>
          <w:rtl w:val="0"/>
        </w:rPr>
        <w:t xml:space="preserve">Current Status and Institutional Impact:</w:t>
      </w:r>
      <w:r w:rsidDel="00000000" w:rsidR="00000000" w:rsidRPr="00000000">
        <w:rPr>
          <w:sz w:val="26"/>
          <w:szCs w:val="26"/>
          <w:rtl w:val="0"/>
        </w:rPr>
        <w:t xml:space="preserve"> Today, Ranjith works in a small supermarket for a modest income. His story serves as a pivotal turning point for the Vidyashram team, highlighting that while rescue and basic education are essential, a strong English-medium foundation is critical for first-generation learners to succeed in higher education and the modern job market. This realization is the primary driver behind the current initiative to establish a formal English-medium school on campus.</w:t>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spacing w:after="240" w:before="240" w:lineRule="auto"/>
        <w:rPr>
          <w:sz w:val="26"/>
          <w:szCs w:val="26"/>
        </w:rPr>
      </w:pPr>
      <w:r w:rsidDel="00000000" w:rsidR="00000000" w:rsidRPr="00000000">
        <w:rPr>
          <w:rtl w:val="0"/>
        </w:rPr>
      </w:r>
    </w:p>
    <w:p w:rsidR="00000000" w:rsidDel="00000000" w:rsidP="00000000" w:rsidRDefault="00000000" w:rsidRPr="00000000" w14:paraId="00000033">
      <w:pPr>
        <w:spacing w:after="240" w:before="240" w:lineRule="auto"/>
        <w:rPr>
          <w:sz w:val="26"/>
          <w:szCs w:val="26"/>
        </w:rPr>
      </w:pPr>
      <w:r w:rsidDel="00000000" w:rsidR="00000000" w:rsidRPr="00000000">
        <w:rPr>
          <w:rtl w:val="0"/>
        </w:rPr>
      </w:r>
    </w:p>
    <w:p w:rsidR="00000000" w:rsidDel="00000000" w:rsidP="00000000" w:rsidRDefault="00000000" w:rsidRPr="00000000" w14:paraId="00000034">
      <w:pPr>
        <w:spacing w:after="240" w:before="240" w:lineRule="auto"/>
        <w:rPr>
          <w:sz w:val="26"/>
          <w:szCs w:val="26"/>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het90opko5s0" w:id="10"/>
      <w:bookmarkEnd w:id="10"/>
      <w:r w:rsidDel="00000000" w:rsidR="00000000" w:rsidRPr="00000000">
        <w:rPr>
          <w:b w:val="1"/>
          <w:bCs w:val="1"/>
          <w:color w:val="000000"/>
          <w:sz w:val="26"/>
          <w:szCs w:val="26"/>
          <w:rtl w:val="0"/>
        </w:rPr>
        <w:t xml:space="preserve">Breakdown of Full School Funding</w:t>
      </w:r>
    </w:p>
    <w:p w:rsidR="00000000" w:rsidDel="00000000" w:rsidP="00000000" w:rsidRDefault="00000000" w:rsidRPr="00000000" w14:paraId="00000036">
      <w:pPr>
        <w:spacing w:after="240" w:before="240" w:lineRule="auto"/>
        <w:rPr>
          <w:sz w:val="26"/>
          <w:szCs w:val="26"/>
        </w:rPr>
      </w:pPr>
      <w:r w:rsidDel="00000000" w:rsidR="00000000" w:rsidRPr="00000000">
        <w:rPr>
          <w:sz w:val="26"/>
          <w:szCs w:val="26"/>
          <w:rtl w:val="0"/>
        </w:rPr>
        <w:t xml:space="preserve">The total funding for the </w:t>
      </w:r>
      <w:r w:rsidDel="00000000" w:rsidR="00000000" w:rsidRPr="00000000">
        <w:rPr>
          <w:b w:val="1"/>
          <w:bCs w:val="1"/>
          <w:sz w:val="26"/>
          <w:szCs w:val="26"/>
          <w:rtl w:val="0"/>
        </w:rPr>
        <w:t xml:space="preserve">Vidyashram school</w:t>
      </w:r>
      <w:r w:rsidDel="00000000" w:rsidR="00000000" w:rsidRPr="00000000">
        <w:rPr>
          <w:sz w:val="26"/>
          <w:szCs w:val="26"/>
          <w:rtl w:val="0"/>
        </w:rPr>
        <w:t xml:space="preserve"> project is estimated at </w:t>
      </w:r>
      <w:r w:rsidDel="00000000" w:rsidR="00000000" w:rsidRPr="00000000">
        <w:rPr>
          <w:b w:val="1"/>
          <w:bCs w:val="1"/>
          <w:sz w:val="26"/>
          <w:szCs w:val="26"/>
          <w:rtl w:val="0"/>
        </w:rPr>
        <w:t xml:space="preserve">₹13.47 crores</w:t>
      </w:r>
      <w:r w:rsidDel="00000000" w:rsidR="00000000" w:rsidRPr="00000000">
        <w:rPr>
          <w:sz w:val="26"/>
          <w:szCs w:val="26"/>
          <w:rtl w:val="0"/>
        </w:rPr>
        <w:t xml:space="preserve">. This comprehensive budget covers land acquisition, existing structures, ongoing construction, and the currently requested classroom.</w:t>
      </w:r>
    </w:p>
    <w:p w:rsidR="00000000" w:rsidDel="00000000" w:rsidP="00000000" w:rsidRDefault="00000000" w:rsidRPr="00000000" w14:paraId="00000037">
      <w:pPr>
        <w:spacing w:after="240" w:before="240" w:lineRule="auto"/>
        <w:rPr>
          <w:sz w:val="26"/>
          <w:szCs w:val="26"/>
        </w:rPr>
      </w:pPr>
      <w:r w:rsidDel="00000000" w:rsidR="00000000" w:rsidRPr="00000000">
        <w:rPr>
          <w:sz w:val="26"/>
          <w:szCs w:val="26"/>
          <w:rtl w:val="0"/>
        </w:rPr>
        <w:t xml:space="preserve">The project has been funded in several stages:</w:t>
      </w:r>
    </w:p>
    <w:p w:rsidR="00000000" w:rsidDel="00000000" w:rsidP="00000000" w:rsidRDefault="00000000" w:rsidRPr="00000000" w14:paraId="00000038">
      <w:pPr>
        <w:numPr>
          <w:ilvl w:val="0"/>
          <w:numId w:val="5"/>
        </w:numPr>
        <w:spacing w:after="0" w:afterAutospacing="0" w:before="240" w:lineRule="auto"/>
        <w:ind w:left="720" w:hanging="360"/>
        <w:rPr>
          <w:sz w:val="26"/>
          <w:szCs w:val="26"/>
        </w:rPr>
      </w:pPr>
      <w:r w:rsidDel="00000000" w:rsidR="00000000" w:rsidRPr="00000000">
        <w:rPr>
          <w:b w:val="1"/>
          <w:bCs w:val="1"/>
          <w:sz w:val="26"/>
          <w:szCs w:val="26"/>
          <w:rtl w:val="0"/>
        </w:rPr>
        <w:t xml:space="preserve">Land Acquisition:</w:t>
      </w:r>
      <w:r w:rsidDel="00000000" w:rsidR="00000000" w:rsidRPr="00000000">
        <w:rPr>
          <w:sz w:val="26"/>
          <w:szCs w:val="26"/>
          <w:rtl w:val="0"/>
        </w:rPr>
        <w:t xml:space="preserve"> The 1-acre site is valued at </w:t>
      </w:r>
      <w:r w:rsidDel="00000000" w:rsidR="00000000" w:rsidRPr="00000000">
        <w:rPr>
          <w:b w:val="1"/>
          <w:bCs w:val="1"/>
          <w:sz w:val="26"/>
          <w:szCs w:val="26"/>
          <w:rtl w:val="0"/>
        </w:rPr>
        <w:t xml:space="preserve">₹8.3 crores</w:t>
      </w:r>
      <w:r w:rsidDel="00000000" w:rsidR="00000000" w:rsidRPr="00000000">
        <w:rPr>
          <w:sz w:val="26"/>
          <w:szCs w:val="26"/>
          <w:rtl w:val="0"/>
        </w:rPr>
        <w:t xml:space="preserve"> and is already registered in the name of the Human Uplift Trust.</w:t>
      </w:r>
    </w:p>
    <w:p w:rsidR="00000000" w:rsidDel="00000000" w:rsidP="00000000" w:rsidRDefault="00000000" w:rsidRPr="00000000" w14:paraId="00000039">
      <w:pPr>
        <w:numPr>
          <w:ilvl w:val="0"/>
          <w:numId w:val="5"/>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Initial Infrastructure (Completed 2015):</w:t>
      </w:r>
      <w:r w:rsidDel="00000000" w:rsidR="00000000" w:rsidRPr="00000000">
        <w:rPr>
          <w:sz w:val="26"/>
          <w:szCs w:val="26"/>
          <w:rtl w:val="0"/>
        </w:rPr>
        <w:t xml:space="preserve"> </w:t>
      </w:r>
      <w:r w:rsidDel="00000000" w:rsidR="00000000" w:rsidRPr="00000000">
        <w:rPr>
          <w:b w:val="1"/>
          <w:bCs w:val="1"/>
          <w:sz w:val="26"/>
          <w:szCs w:val="26"/>
          <w:rtl w:val="0"/>
        </w:rPr>
        <w:t xml:space="preserve">₹2.85 crores</w:t>
      </w:r>
      <w:r w:rsidDel="00000000" w:rsidR="00000000" w:rsidRPr="00000000">
        <w:rPr>
          <w:sz w:val="26"/>
          <w:szCs w:val="26"/>
          <w:rtl w:val="0"/>
        </w:rPr>
        <w:t xml:space="preserve"> was used to construct 9,500 sq ft of dormitories, a kitchen, a health clinic, and a library.</w:t>
      </w:r>
    </w:p>
    <w:p w:rsidR="00000000" w:rsidDel="00000000" w:rsidP="00000000" w:rsidRDefault="00000000" w:rsidRPr="00000000" w14:paraId="0000003A">
      <w:pPr>
        <w:numPr>
          <w:ilvl w:val="0"/>
          <w:numId w:val="5"/>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Classrooms and Toilets (Completed 2022):</w:t>
      </w:r>
      <w:r w:rsidDel="00000000" w:rsidR="00000000" w:rsidRPr="00000000">
        <w:rPr>
          <w:sz w:val="26"/>
          <w:szCs w:val="26"/>
          <w:rtl w:val="0"/>
        </w:rPr>
        <w:t xml:space="preserve"> </w:t>
      </w:r>
      <w:r w:rsidDel="00000000" w:rsidR="00000000" w:rsidRPr="00000000">
        <w:rPr>
          <w:b w:val="1"/>
          <w:bCs w:val="1"/>
          <w:sz w:val="26"/>
          <w:szCs w:val="26"/>
          <w:rtl w:val="0"/>
        </w:rPr>
        <w:t xml:space="preserve">₹0.59 crores</w:t>
      </w:r>
      <w:r w:rsidDel="00000000" w:rsidR="00000000" w:rsidRPr="00000000">
        <w:rPr>
          <w:sz w:val="26"/>
          <w:szCs w:val="26"/>
          <w:rtl w:val="0"/>
        </w:rPr>
        <w:t xml:space="preserve"> supported 1,950 sq ft of construction, including four classrooms and a toilet block.</w:t>
      </w:r>
    </w:p>
    <w:p w:rsidR="00000000" w:rsidDel="00000000" w:rsidP="00000000" w:rsidRDefault="00000000" w:rsidRPr="00000000" w14:paraId="0000003B">
      <w:pPr>
        <w:numPr>
          <w:ilvl w:val="0"/>
          <w:numId w:val="5"/>
        </w:numP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Ongoing Construction (2024–25):</w:t>
      </w:r>
      <w:r w:rsidDel="00000000" w:rsidR="00000000" w:rsidRPr="00000000">
        <w:rPr>
          <w:sz w:val="26"/>
          <w:szCs w:val="26"/>
          <w:rtl w:val="0"/>
        </w:rPr>
        <w:t xml:space="preserve"> </w:t>
      </w:r>
      <w:r w:rsidDel="00000000" w:rsidR="00000000" w:rsidRPr="00000000">
        <w:rPr>
          <w:b w:val="1"/>
          <w:bCs w:val="1"/>
          <w:sz w:val="26"/>
          <w:szCs w:val="26"/>
          <w:rtl w:val="0"/>
        </w:rPr>
        <w:t xml:space="preserve">₹1.63 crores</w:t>
      </w:r>
      <w:r w:rsidDel="00000000" w:rsidR="00000000" w:rsidRPr="00000000">
        <w:rPr>
          <w:sz w:val="26"/>
          <w:szCs w:val="26"/>
          <w:rtl w:val="0"/>
        </w:rPr>
        <w:t xml:space="preserve"> from the </w:t>
      </w:r>
      <w:r w:rsidDel="00000000" w:rsidR="00000000" w:rsidRPr="00000000">
        <w:rPr>
          <w:b w:val="1"/>
          <w:bCs w:val="1"/>
          <w:sz w:val="26"/>
          <w:szCs w:val="26"/>
          <w:rtl w:val="0"/>
        </w:rPr>
        <w:t xml:space="preserve">GIC Re CSR fund</w:t>
      </w:r>
      <w:r w:rsidDel="00000000" w:rsidR="00000000" w:rsidRPr="00000000">
        <w:rPr>
          <w:sz w:val="26"/>
          <w:szCs w:val="26"/>
          <w:rtl w:val="0"/>
        </w:rPr>
        <w:t xml:space="preserve"> is currently being used to build nine classrooms, a computer lab, a library, and science laboratories.</w:t>
      </w:r>
    </w:p>
    <w:p w:rsidR="00000000" w:rsidDel="00000000" w:rsidP="00000000" w:rsidRDefault="00000000" w:rsidRPr="00000000" w14:paraId="0000003C">
      <w:pPr>
        <w:numPr>
          <w:ilvl w:val="0"/>
          <w:numId w:val="5"/>
        </w:numPr>
        <w:spacing w:after="240" w:before="0" w:beforeAutospacing="0" w:lineRule="auto"/>
        <w:ind w:left="720" w:hanging="360"/>
        <w:rPr>
          <w:sz w:val="26"/>
          <w:szCs w:val="26"/>
        </w:rPr>
      </w:pPr>
      <w:r w:rsidDel="00000000" w:rsidR="00000000" w:rsidRPr="00000000">
        <w:rPr>
          <w:b w:val="1"/>
          <w:bCs w:val="1"/>
          <w:sz w:val="26"/>
          <w:szCs w:val="26"/>
          <w:rtl w:val="0"/>
        </w:rPr>
        <w:t xml:space="preserve">Current Request:</w:t>
      </w:r>
      <w:r w:rsidDel="00000000" w:rsidR="00000000" w:rsidRPr="00000000">
        <w:rPr>
          <w:sz w:val="26"/>
          <w:szCs w:val="26"/>
          <w:rtl w:val="0"/>
        </w:rPr>
        <w:t xml:space="preserve"> The Trust is requesting </w:t>
      </w:r>
      <w:r w:rsidDel="00000000" w:rsidR="00000000" w:rsidRPr="00000000">
        <w:rPr>
          <w:b w:val="1"/>
          <w:bCs w:val="1"/>
          <w:sz w:val="26"/>
          <w:szCs w:val="26"/>
          <w:rtl w:val="0"/>
        </w:rPr>
        <w:t xml:space="preserve">₹10.04 lakhs</w:t>
      </w:r>
      <w:r w:rsidDel="00000000" w:rsidR="00000000" w:rsidRPr="00000000">
        <w:rPr>
          <w:sz w:val="26"/>
          <w:szCs w:val="26"/>
          <w:rtl w:val="0"/>
        </w:rPr>
        <w:t xml:space="preserve"> from </w:t>
      </w:r>
      <w:r w:rsidDel="00000000" w:rsidR="00000000" w:rsidRPr="00000000">
        <w:rPr>
          <w:b w:val="1"/>
          <w:bCs w:val="1"/>
          <w:sz w:val="26"/>
          <w:szCs w:val="26"/>
          <w:rtl w:val="0"/>
        </w:rPr>
        <w:t xml:space="preserve">Asha for Education</w:t>
      </w:r>
      <w:r w:rsidDel="00000000" w:rsidR="00000000" w:rsidRPr="00000000">
        <w:rPr>
          <w:sz w:val="26"/>
          <w:szCs w:val="26"/>
          <w:rtl w:val="0"/>
        </w:rPr>
        <w:t xml:space="preserve"> for one final classroom to reach the total of 14 needed for official state recognition.</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nn0g7yqhvr7h" w:id="11"/>
      <w:bookmarkEnd w:id="11"/>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ycek3wytyf6w" w:id="12"/>
      <w:bookmarkEnd w:id="12"/>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b3jucz17bbw" w:id="13"/>
      <w:bookmarkEnd w:id="13"/>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lchfobxaixqs" w:id="14"/>
      <w:bookmarkEnd w:id="14"/>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uszma4a529kj" w:id="15"/>
      <w:bookmarkEnd w:id="15"/>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3u6eb7cbhgd5" w:id="16"/>
      <w:bookmarkEnd w:id="16"/>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1qls4yj6ucs" w:id="17"/>
      <w:bookmarkEnd w:id="17"/>
      <w:r w:rsidDel="00000000" w:rsidR="00000000" w:rsidRPr="00000000">
        <w:rPr>
          <w:b w:val="1"/>
          <w:bCs w:val="1"/>
          <w:color w:val="000000"/>
          <w:sz w:val="26"/>
          <w:szCs w:val="26"/>
          <w:rtl w:val="0"/>
        </w:rPr>
        <w:t xml:space="preserve">Other Historical Sources of Funds</w:t>
      </w:r>
    </w:p>
    <w:p w:rsidR="00000000" w:rsidDel="00000000" w:rsidP="00000000" w:rsidRDefault="00000000" w:rsidRPr="00000000" w14:paraId="0000004B">
      <w:pPr>
        <w:spacing w:after="240" w:before="240" w:lineRule="auto"/>
        <w:rPr/>
      </w:pPr>
      <w:r w:rsidDel="00000000" w:rsidR="00000000" w:rsidRPr="00000000">
        <w:rPr>
          <w:rtl w:val="0"/>
        </w:rPr>
        <w:t xml:space="preserve">Human Uplift Trust (HUT) has received support from various state and international agencies for earlier educational and care activities:</w:t>
      </w:r>
    </w:p>
    <w:p w:rsidR="00000000" w:rsidDel="00000000" w:rsidP="00000000" w:rsidRDefault="00000000" w:rsidRPr="00000000" w14:paraId="0000004C">
      <w:pPr>
        <w:numPr>
          <w:ilvl w:val="0"/>
          <w:numId w:val="6"/>
        </w:numPr>
        <w:spacing w:after="0" w:afterAutospacing="0" w:before="240" w:lineRule="auto"/>
        <w:ind w:left="720" w:hanging="360"/>
      </w:pPr>
      <w:r w:rsidDel="00000000" w:rsidR="00000000" w:rsidRPr="00000000">
        <w:rPr>
          <w:b w:val="1"/>
          <w:bCs w:val="1"/>
          <w:rtl w:val="0"/>
        </w:rPr>
        <w:t xml:space="preserve">Government Support:</w:t>
      </w:r>
      <w:r w:rsidDel="00000000" w:rsidR="00000000" w:rsidRPr="00000000">
        <w:rPr>
          <w:rtl w:val="0"/>
        </w:rPr>
        <w:t xml:space="preserve"> Multiple grants from the </w:t>
      </w:r>
      <w:r w:rsidDel="00000000" w:rsidR="00000000" w:rsidRPr="00000000">
        <w:rPr>
          <w:b w:val="1"/>
          <w:bCs w:val="1"/>
          <w:rtl w:val="0"/>
        </w:rPr>
        <w:t xml:space="preserve">Sarva Shiksha Abhiyan (SSA)</w:t>
      </w:r>
      <w:r w:rsidDel="00000000" w:rsidR="00000000" w:rsidRPr="00000000">
        <w:rPr>
          <w:rtl w:val="0"/>
        </w:rPr>
        <w:t xml:space="preserve">, ranging from approximately ₹7.16 lakhs to over ₹20 lakhs annually between 2015 and 2024, for residential centers and special training for HIV-infected children.</w:t>
      </w:r>
    </w:p>
    <w:p w:rsidR="00000000" w:rsidDel="00000000" w:rsidP="00000000" w:rsidRDefault="00000000" w:rsidRPr="00000000" w14:paraId="0000004D">
      <w:pPr>
        <w:numPr>
          <w:ilvl w:val="0"/>
          <w:numId w:val="6"/>
        </w:numPr>
        <w:spacing w:after="0" w:afterAutospacing="0" w:before="0" w:beforeAutospacing="0" w:lineRule="auto"/>
        <w:ind w:left="720" w:hanging="360"/>
      </w:pPr>
      <w:r w:rsidDel="00000000" w:rsidR="00000000" w:rsidRPr="00000000">
        <w:rPr>
          <w:b w:val="1"/>
          <w:bCs w:val="1"/>
          <w:rtl w:val="0"/>
        </w:rPr>
        <w:t xml:space="preserve">Asha for Education:</w:t>
      </w:r>
      <w:r w:rsidDel="00000000" w:rsidR="00000000" w:rsidRPr="00000000">
        <w:rPr>
          <w:rtl w:val="0"/>
        </w:rPr>
        <w:t xml:space="preserve"> A long-standing partner that provided roughly ₹20.69 lakhs (2020–21), ₹18.44 lakhs (2021–22), and ₹29.81 lakhs (2022–23) for educational projects and classroom construction.</w:t>
      </w:r>
    </w:p>
    <w:p w:rsidR="00000000" w:rsidDel="00000000" w:rsidP="00000000" w:rsidRDefault="00000000" w:rsidRPr="00000000" w14:paraId="0000004E">
      <w:pPr>
        <w:numPr>
          <w:ilvl w:val="0"/>
          <w:numId w:val="6"/>
        </w:numPr>
        <w:spacing w:after="0" w:afterAutospacing="0" w:before="0" w:beforeAutospacing="0" w:lineRule="auto"/>
        <w:ind w:left="720" w:hanging="360"/>
      </w:pPr>
      <w:r w:rsidDel="00000000" w:rsidR="00000000" w:rsidRPr="00000000">
        <w:rPr>
          <w:b w:val="1"/>
          <w:bCs w:val="1"/>
          <w:rtl w:val="0"/>
        </w:rPr>
        <w:t xml:space="preserve">Corporate and Private Foundations:</w:t>
      </w:r>
    </w:p>
    <w:p w:rsidR="00000000" w:rsidDel="00000000" w:rsidP="00000000" w:rsidRDefault="00000000" w:rsidRPr="00000000" w14:paraId="0000004F">
      <w:pPr>
        <w:numPr>
          <w:ilvl w:val="1"/>
          <w:numId w:val="6"/>
        </w:numPr>
        <w:spacing w:after="0" w:afterAutospacing="0" w:before="0" w:beforeAutospacing="0" w:lineRule="auto"/>
        <w:ind w:left="1440" w:hanging="360"/>
      </w:pPr>
      <w:r w:rsidDel="00000000" w:rsidR="00000000" w:rsidRPr="00000000">
        <w:rPr>
          <w:b w:val="1"/>
          <w:bCs w:val="1"/>
          <w:rtl w:val="0"/>
        </w:rPr>
        <w:t xml:space="preserve">Price Waterhouse Coopers (Overseas):</w:t>
      </w:r>
      <w:r w:rsidDel="00000000" w:rsidR="00000000" w:rsidRPr="00000000">
        <w:rPr>
          <w:rtl w:val="0"/>
        </w:rPr>
        <w:t xml:space="preserve"> ₹14.96 lakhs for laboratory classroom construction (2017–18).</w:t>
      </w:r>
    </w:p>
    <w:p w:rsidR="00000000" w:rsidDel="00000000" w:rsidP="00000000" w:rsidRDefault="00000000" w:rsidRPr="00000000" w14:paraId="00000050">
      <w:pPr>
        <w:numPr>
          <w:ilvl w:val="1"/>
          <w:numId w:val="6"/>
        </w:numPr>
        <w:spacing w:after="0" w:afterAutospacing="0" w:before="0" w:beforeAutospacing="0" w:lineRule="auto"/>
        <w:ind w:left="1440" w:hanging="360"/>
      </w:pPr>
      <w:r w:rsidDel="00000000" w:rsidR="00000000" w:rsidRPr="00000000">
        <w:rPr>
          <w:b w:val="1"/>
          <w:bCs w:val="1"/>
          <w:rtl w:val="0"/>
        </w:rPr>
        <w:t xml:space="preserve">EVADEH France:</w:t>
      </w:r>
      <w:r w:rsidDel="00000000" w:rsidR="00000000" w:rsidRPr="00000000">
        <w:rPr>
          <w:rtl w:val="0"/>
        </w:rPr>
        <w:t xml:space="preserve"> Several grants totaling over ₹21 lakhs for nutrition projects between 2017 and 2020.</w:t>
      </w:r>
    </w:p>
    <w:p w:rsidR="00000000" w:rsidDel="00000000" w:rsidP="00000000" w:rsidRDefault="00000000" w:rsidRPr="00000000" w14:paraId="00000051">
      <w:pPr>
        <w:numPr>
          <w:ilvl w:val="1"/>
          <w:numId w:val="6"/>
        </w:numPr>
        <w:spacing w:after="0" w:afterAutospacing="0" w:before="0" w:beforeAutospacing="0" w:lineRule="auto"/>
        <w:ind w:left="1440" w:hanging="360"/>
      </w:pPr>
      <w:r w:rsidDel="00000000" w:rsidR="00000000" w:rsidRPr="00000000">
        <w:rPr>
          <w:b w:val="1"/>
          <w:bCs w:val="1"/>
          <w:rtl w:val="0"/>
        </w:rPr>
        <w:t xml:space="preserve">Thalie ART Foundation:</w:t>
      </w:r>
      <w:r w:rsidDel="00000000" w:rsidR="00000000" w:rsidRPr="00000000">
        <w:rPr>
          <w:rtl w:val="0"/>
        </w:rPr>
        <w:t xml:space="preserve"> ₹3.64 lakhs for an art classroom.</w:t>
      </w:r>
    </w:p>
    <w:p w:rsidR="00000000" w:rsidDel="00000000" w:rsidP="00000000" w:rsidRDefault="00000000" w:rsidRPr="00000000" w14:paraId="00000052">
      <w:pPr>
        <w:numPr>
          <w:ilvl w:val="1"/>
          <w:numId w:val="6"/>
        </w:numPr>
        <w:spacing w:after="0" w:afterAutospacing="0" w:before="0" w:beforeAutospacing="0" w:lineRule="auto"/>
        <w:ind w:left="1440" w:hanging="360"/>
      </w:pPr>
      <w:r w:rsidDel="00000000" w:rsidR="00000000" w:rsidRPr="00000000">
        <w:rPr>
          <w:b w:val="1"/>
          <w:bCs w:val="1"/>
          <w:rtl w:val="0"/>
        </w:rPr>
        <w:t xml:space="preserve">SUDE Paris:</w:t>
      </w:r>
      <w:r w:rsidDel="00000000" w:rsidR="00000000" w:rsidRPr="00000000">
        <w:rPr>
          <w:rtl w:val="0"/>
        </w:rPr>
        <w:t xml:space="preserve"> ₹15.00 lakhs for rural schooling (2022–23).</w:t>
      </w:r>
    </w:p>
    <w:p w:rsidR="00000000" w:rsidDel="00000000" w:rsidP="00000000" w:rsidRDefault="00000000" w:rsidRPr="00000000" w14:paraId="00000053">
      <w:pPr>
        <w:numPr>
          <w:ilvl w:val="0"/>
          <w:numId w:val="6"/>
        </w:numPr>
        <w:spacing w:after="240" w:before="0" w:beforeAutospacing="0" w:lineRule="auto"/>
        <w:ind w:left="720" w:hanging="360"/>
      </w:pPr>
      <w:r w:rsidDel="00000000" w:rsidR="00000000" w:rsidRPr="00000000">
        <w:rPr>
          <w:b w:val="1"/>
          <w:bCs w:val="1"/>
          <w:rtl w:val="0"/>
        </w:rPr>
        <w:t xml:space="preserve">Individual Contributions:</w:t>
      </w:r>
      <w:r w:rsidDel="00000000" w:rsidR="00000000" w:rsidRPr="00000000">
        <w:rPr>
          <w:rtl w:val="0"/>
        </w:rPr>
        <w:t xml:space="preserve"> The founders, </w:t>
      </w:r>
      <w:r w:rsidDel="00000000" w:rsidR="00000000" w:rsidRPr="00000000">
        <w:rPr>
          <w:b w:val="1"/>
          <w:bCs w:val="1"/>
          <w:rtl w:val="0"/>
        </w:rPr>
        <w:t xml:space="preserve">Dr. Raja and Dr. Indhra</w:t>
      </w:r>
      <w:r w:rsidDel="00000000" w:rsidR="00000000" w:rsidRPr="00000000">
        <w:rPr>
          <w:rtl w:val="0"/>
        </w:rPr>
        <w:t xml:space="preserve">, donate </w:t>
      </w:r>
      <w:r w:rsidDel="00000000" w:rsidR="00000000" w:rsidRPr="00000000">
        <w:rPr>
          <w:b w:val="1"/>
          <w:bCs w:val="1"/>
          <w:rtl w:val="0"/>
        </w:rPr>
        <w:t xml:space="preserve">half of their clinic income</w:t>
      </w:r>
      <w:r w:rsidDel="00000000" w:rsidR="00000000" w:rsidRPr="00000000">
        <w:rPr>
          <w:rtl w:val="0"/>
        </w:rPr>
        <w:t xml:space="preserve"> to support the resident children.</w:t>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rtl w:val="0"/>
        </w:rPr>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Request for One-time funding for one classroom from Asha for Education </w:t>
      </w:r>
    </w:p>
    <w:p w:rsidR="00000000" w:rsidDel="00000000" w:rsidP="00000000" w:rsidRDefault="00000000" w:rsidRPr="00000000" w14:paraId="00000062">
      <w:pPr>
        <w:rPr>
          <w:sz w:val="20"/>
          <w:szCs w:val="20"/>
        </w:rPr>
      </w:pPr>
      <w:r w:rsidDel="00000000" w:rsidR="00000000" w:rsidRPr="00000000">
        <w:rPr>
          <w:rtl w:val="0"/>
        </w:rPr>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3">
            <w:pPr>
              <w:jc w:val="center"/>
              <w:rPr>
                <w:sz w:val="20"/>
                <w:szCs w:val="20"/>
              </w:rPr>
            </w:pPr>
            <w:r w:rsidDel="00000000" w:rsidR="00000000" w:rsidRPr="00000000">
              <w:rPr>
                <w:b w:val="1"/>
                <w:bCs w:val="1"/>
                <w:sz w:val="20"/>
                <w:szCs w:val="20"/>
                <w:rtl w:val="0"/>
              </w:rPr>
              <w:t xml:space="preserve">Category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4">
            <w:pPr>
              <w:jc w:val="center"/>
              <w:rPr>
                <w:sz w:val="20"/>
                <w:szCs w:val="20"/>
              </w:rPr>
            </w:pPr>
            <w:r w:rsidDel="00000000" w:rsidR="00000000" w:rsidRPr="00000000">
              <w:rPr>
                <w:b w:val="1"/>
                <w:bCs w:val="1"/>
                <w:sz w:val="20"/>
                <w:szCs w:val="20"/>
                <w:rtl w:val="0"/>
              </w:rPr>
              <w:t xml:space="preserve">Description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5">
            <w:pPr>
              <w:jc w:val="center"/>
              <w:rPr>
                <w:sz w:val="20"/>
                <w:szCs w:val="20"/>
              </w:rPr>
            </w:pPr>
            <w:r w:rsidDel="00000000" w:rsidR="00000000" w:rsidRPr="00000000">
              <w:rPr>
                <w:b w:val="1"/>
                <w:bCs w:val="1"/>
                <w:sz w:val="20"/>
                <w:szCs w:val="20"/>
                <w:rtl w:val="0"/>
              </w:rPr>
              <w:t xml:space="preserve">Amount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6">
            <w:pPr>
              <w:rPr>
                <w:sz w:val="20"/>
                <w:szCs w:val="20"/>
              </w:rPr>
            </w:pPr>
            <w:r w:rsidDel="00000000" w:rsidR="00000000" w:rsidRPr="00000000">
              <w:rPr>
                <w:b w:val="1"/>
                <w:bCs w:val="1"/>
                <w:sz w:val="20"/>
                <w:szCs w:val="20"/>
                <w:rtl w:val="0"/>
              </w:rPr>
              <w:t xml:space="preserve">Site Preparation &amp; Earthwork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7">
            <w:pPr>
              <w:rPr>
                <w:sz w:val="20"/>
                <w:szCs w:val="20"/>
              </w:rPr>
            </w:pPr>
            <w:r w:rsidDel="00000000" w:rsidR="00000000" w:rsidRPr="00000000">
              <w:rPr>
                <w:sz w:val="20"/>
                <w:szCs w:val="20"/>
                <w:rtl w:val="0"/>
              </w:rPr>
              <w:t xml:space="preserve">Clearing, leveling, excavation (1.5m depth incl. shoring), backfilling, anti-termite treatment</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8">
            <w:pPr>
              <w:rPr>
                <w:sz w:val="20"/>
                <w:szCs w:val="20"/>
              </w:rPr>
            </w:pPr>
            <w:r w:rsidDel="00000000" w:rsidR="00000000" w:rsidRPr="00000000">
              <w:rPr>
                <w:sz w:val="20"/>
                <w:szCs w:val="20"/>
                <w:rtl w:val="0"/>
              </w:rPr>
              <w:t xml:space="preserve">27,000.00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9">
            <w:pPr>
              <w:rPr>
                <w:sz w:val="20"/>
                <w:szCs w:val="20"/>
              </w:rPr>
            </w:pPr>
            <w:r w:rsidDel="00000000" w:rsidR="00000000" w:rsidRPr="00000000">
              <w:rPr>
                <w:b w:val="1"/>
                <w:bCs w:val="1"/>
                <w:sz w:val="20"/>
                <w:szCs w:val="20"/>
                <w:rtl w:val="0"/>
              </w:rPr>
              <w:t xml:space="preserve">Foundation &amp; Substructure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A">
            <w:pPr>
              <w:rPr>
                <w:sz w:val="20"/>
                <w:szCs w:val="20"/>
              </w:rPr>
            </w:pPr>
            <w:r w:rsidDel="00000000" w:rsidR="00000000" w:rsidRPr="00000000">
              <w:rPr>
                <w:sz w:val="20"/>
                <w:szCs w:val="20"/>
                <w:rtl w:val="0"/>
              </w:rPr>
              <w:t xml:space="preserve">PCC (1:4:8) bedding, RCC footings/pedestals (M20, 1% steel), DPC (bitumen membrane)</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B">
            <w:pPr>
              <w:rPr>
                <w:sz w:val="20"/>
                <w:szCs w:val="20"/>
              </w:rPr>
            </w:pPr>
            <w:r w:rsidDel="00000000" w:rsidR="00000000" w:rsidRPr="00000000">
              <w:rPr>
                <w:sz w:val="20"/>
                <w:szCs w:val="20"/>
                <w:rtl w:val="0"/>
              </w:rPr>
              <w:t xml:space="preserve">1,10,000.00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C">
            <w:pPr>
              <w:rPr>
                <w:sz w:val="20"/>
                <w:szCs w:val="20"/>
              </w:rPr>
            </w:pPr>
            <w:r w:rsidDel="00000000" w:rsidR="00000000" w:rsidRPr="00000000">
              <w:rPr>
                <w:b w:val="1"/>
                <w:bCs w:val="1"/>
                <w:sz w:val="20"/>
                <w:szCs w:val="20"/>
                <w:rtl w:val="0"/>
              </w:rPr>
              <w:t xml:space="preserve">Superstructure - RCC Framework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D">
            <w:pPr>
              <w:rPr>
                <w:sz w:val="20"/>
                <w:szCs w:val="20"/>
              </w:rPr>
            </w:pPr>
            <w:r w:rsidDel="00000000" w:rsidR="00000000" w:rsidRPr="00000000">
              <w:rPr>
                <w:sz w:val="20"/>
                <w:szCs w:val="20"/>
                <w:rtl w:val="0"/>
              </w:rPr>
              <w:t xml:space="preserve">Columns, beams, lintels (M25), RCC slab (4-5" thick incl. formwork), staircase (RCC + MS railings)</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E">
            <w:pPr>
              <w:rPr>
                <w:sz w:val="20"/>
                <w:szCs w:val="20"/>
              </w:rPr>
            </w:pPr>
            <w:r w:rsidDel="00000000" w:rsidR="00000000" w:rsidRPr="00000000">
              <w:rPr>
                <w:sz w:val="20"/>
                <w:szCs w:val="20"/>
                <w:rtl w:val="0"/>
              </w:rPr>
              <w:t xml:space="preserve">2,64,000.00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6F">
            <w:pPr>
              <w:rPr>
                <w:sz w:val="20"/>
                <w:szCs w:val="20"/>
              </w:rPr>
            </w:pPr>
            <w:r w:rsidDel="00000000" w:rsidR="00000000" w:rsidRPr="00000000">
              <w:rPr>
                <w:b w:val="1"/>
                <w:bCs w:val="1"/>
                <w:sz w:val="20"/>
                <w:szCs w:val="20"/>
                <w:rtl w:val="0"/>
              </w:rPr>
              <w:t xml:space="preserve">Brickwork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0">
            <w:pPr>
              <w:rPr>
                <w:sz w:val="20"/>
                <w:szCs w:val="20"/>
              </w:rPr>
            </w:pPr>
            <w:r w:rsidDel="00000000" w:rsidR="00000000" w:rsidRPr="00000000">
              <w:rPr>
                <w:sz w:val="20"/>
                <w:szCs w:val="20"/>
                <w:rtl w:val="0"/>
              </w:rPr>
              <w:t xml:space="preserve">External 9" thick exposed, internal 4.5" thick, premium wirecut bricks</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1">
            <w:pPr>
              <w:rPr>
                <w:sz w:val="20"/>
                <w:szCs w:val="20"/>
              </w:rPr>
            </w:pPr>
            <w:r w:rsidDel="00000000" w:rsidR="00000000" w:rsidRPr="00000000">
              <w:rPr>
                <w:sz w:val="20"/>
                <w:szCs w:val="20"/>
                <w:rtl w:val="0"/>
              </w:rPr>
              <w:t xml:space="preserve">1,82,000.00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2">
            <w:pPr>
              <w:rPr>
                <w:sz w:val="20"/>
                <w:szCs w:val="20"/>
              </w:rPr>
            </w:pPr>
            <w:r w:rsidDel="00000000" w:rsidR="00000000" w:rsidRPr="00000000">
              <w:rPr>
                <w:b w:val="1"/>
                <w:bCs w:val="1"/>
                <w:sz w:val="20"/>
                <w:szCs w:val="20"/>
                <w:rtl w:val="0"/>
              </w:rPr>
              <w:t xml:space="preserve">Roofing &amp; Waterproofing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3">
            <w:pPr>
              <w:rPr>
                <w:sz w:val="20"/>
                <w:szCs w:val="20"/>
              </w:rPr>
            </w:pPr>
            <w:r w:rsidDel="00000000" w:rsidR="00000000" w:rsidRPr="00000000">
              <w:rPr>
                <w:sz w:val="20"/>
                <w:szCs w:val="20"/>
                <w:rtl w:val="0"/>
              </w:rPr>
              <w:t xml:space="preserve">RCC slab roofing + weatherproofing, gutters/down-take pipes (PVC)</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4">
            <w:pPr>
              <w:rPr>
                <w:sz w:val="20"/>
                <w:szCs w:val="20"/>
              </w:rPr>
            </w:pPr>
            <w:r w:rsidDel="00000000" w:rsidR="00000000" w:rsidRPr="00000000">
              <w:rPr>
                <w:sz w:val="20"/>
                <w:szCs w:val="20"/>
                <w:rtl w:val="0"/>
              </w:rPr>
              <w:t xml:space="preserve">77,000.00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5">
            <w:pPr>
              <w:rPr>
                <w:sz w:val="20"/>
                <w:szCs w:val="20"/>
              </w:rPr>
            </w:pPr>
            <w:r w:rsidDel="00000000" w:rsidR="00000000" w:rsidRPr="00000000">
              <w:rPr>
                <w:b w:val="1"/>
                <w:bCs w:val="1"/>
                <w:sz w:val="20"/>
                <w:szCs w:val="20"/>
                <w:rtl w:val="0"/>
              </w:rPr>
              <w:t xml:space="preserve">Flooring &amp; Dado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6">
            <w:pPr>
              <w:rPr>
                <w:sz w:val="20"/>
                <w:szCs w:val="20"/>
              </w:rPr>
            </w:pPr>
            <w:r w:rsidDel="00000000" w:rsidR="00000000" w:rsidRPr="00000000">
              <w:rPr>
                <w:sz w:val="20"/>
                <w:szCs w:val="20"/>
                <w:rtl w:val="0"/>
              </w:rPr>
              <w:t xml:space="preserve">CC flooring in corridors/toilets, vitrified tiles in classrooms/labs, granite sills</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7">
            <w:pPr>
              <w:rPr>
                <w:sz w:val="20"/>
                <w:szCs w:val="20"/>
              </w:rPr>
            </w:pPr>
            <w:r w:rsidDel="00000000" w:rsidR="00000000" w:rsidRPr="00000000">
              <w:rPr>
                <w:sz w:val="20"/>
                <w:szCs w:val="20"/>
                <w:rtl w:val="0"/>
              </w:rPr>
              <w:t xml:space="preserve">1,10,000.00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8">
            <w:pPr>
              <w:rPr>
                <w:sz w:val="20"/>
                <w:szCs w:val="20"/>
              </w:rPr>
            </w:pPr>
            <w:r w:rsidDel="00000000" w:rsidR="00000000" w:rsidRPr="00000000">
              <w:rPr>
                <w:b w:val="1"/>
                <w:bCs w:val="1"/>
                <w:sz w:val="20"/>
                <w:szCs w:val="20"/>
                <w:rtl w:val="0"/>
              </w:rPr>
              <w:t xml:space="preserve">Doors, Windows &amp; Fixtures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9">
            <w:pPr>
              <w:rPr>
                <w:sz w:val="20"/>
                <w:szCs w:val="20"/>
              </w:rPr>
            </w:pPr>
            <w:r w:rsidDel="00000000" w:rsidR="00000000" w:rsidRPr="00000000">
              <w:rPr>
                <w:sz w:val="20"/>
                <w:szCs w:val="20"/>
                <w:rtl w:val="0"/>
              </w:rPr>
              <w:t xml:space="preserve">MS/wooden doors, aluminium windows (powder-coated + mesh), MS grills/ventilators</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A">
            <w:pPr>
              <w:rPr>
                <w:sz w:val="20"/>
                <w:szCs w:val="20"/>
              </w:rPr>
            </w:pPr>
            <w:r w:rsidDel="00000000" w:rsidR="00000000" w:rsidRPr="00000000">
              <w:rPr>
                <w:sz w:val="20"/>
                <w:szCs w:val="20"/>
                <w:rtl w:val="0"/>
              </w:rPr>
              <w:t xml:space="preserve">25,000.00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B">
            <w:pPr>
              <w:rPr>
                <w:sz w:val="20"/>
                <w:szCs w:val="20"/>
              </w:rPr>
            </w:pPr>
            <w:r w:rsidDel="00000000" w:rsidR="00000000" w:rsidRPr="00000000">
              <w:rPr>
                <w:b w:val="1"/>
                <w:bCs w:val="1"/>
                <w:sz w:val="20"/>
                <w:szCs w:val="20"/>
                <w:rtl w:val="0"/>
              </w:rPr>
              <w:t xml:space="preserve">Finishing Works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C">
            <w:pPr>
              <w:rPr>
                <w:sz w:val="20"/>
                <w:szCs w:val="20"/>
              </w:rPr>
            </w:pPr>
            <w:r w:rsidDel="00000000" w:rsidR="00000000" w:rsidRPr="00000000">
              <w:rPr>
                <w:sz w:val="20"/>
                <w:szCs w:val="20"/>
                <w:rtl w:val="0"/>
              </w:rPr>
              <w:t xml:space="preserve">Internal plaster (non-exposed areas), painting (acrylic emulsion + weatherproof external)</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D">
            <w:pPr>
              <w:rPr>
                <w:sz w:val="20"/>
                <w:szCs w:val="20"/>
              </w:rPr>
            </w:pPr>
            <w:r w:rsidDel="00000000" w:rsidR="00000000" w:rsidRPr="00000000">
              <w:rPr>
                <w:sz w:val="20"/>
                <w:szCs w:val="20"/>
                <w:rtl w:val="0"/>
              </w:rPr>
              <w:t xml:space="preserve">18,000.00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E">
            <w:pPr>
              <w:rPr>
                <w:sz w:val="20"/>
                <w:szCs w:val="20"/>
              </w:rPr>
            </w:pPr>
            <w:r w:rsidDel="00000000" w:rsidR="00000000" w:rsidRPr="00000000">
              <w:rPr>
                <w:b w:val="1"/>
                <w:bCs w:val="1"/>
                <w:sz w:val="20"/>
                <w:szCs w:val="20"/>
                <w:rtl w:val="0"/>
              </w:rPr>
              <w:t xml:space="preserve">Plumbing &amp; Sanitation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7F">
            <w:pPr>
              <w:rPr>
                <w:sz w:val="20"/>
                <w:szCs w:val="20"/>
              </w:rPr>
            </w:pPr>
            <w:r w:rsidDel="00000000" w:rsidR="00000000" w:rsidRPr="00000000">
              <w:rPr>
                <w:sz w:val="20"/>
                <w:szCs w:val="20"/>
                <w:rtl w:val="0"/>
              </w:rPr>
              <w:t xml:space="preserve">Water supply lines, sanitary fittings, small septic tank/soak pit</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0">
            <w:pPr>
              <w:rPr>
                <w:sz w:val="20"/>
                <w:szCs w:val="20"/>
              </w:rPr>
            </w:pPr>
            <w:r w:rsidDel="00000000" w:rsidR="00000000" w:rsidRPr="00000000">
              <w:rPr>
                <w:sz w:val="20"/>
                <w:szCs w:val="20"/>
                <w:rtl w:val="0"/>
              </w:rPr>
              <w:t xml:space="preserve">36,000.00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1">
            <w:pPr>
              <w:rPr>
                <w:sz w:val="20"/>
                <w:szCs w:val="20"/>
              </w:rPr>
            </w:pPr>
            <w:r w:rsidDel="00000000" w:rsidR="00000000" w:rsidRPr="00000000">
              <w:rPr>
                <w:b w:val="1"/>
                <w:bCs w:val="1"/>
                <w:sz w:val="20"/>
                <w:szCs w:val="20"/>
                <w:rtl w:val="0"/>
              </w:rPr>
              <w:t xml:space="preserve">Electrical Works (Basic)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2">
            <w:pPr>
              <w:rPr>
                <w:sz w:val="20"/>
                <w:szCs w:val="20"/>
              </w:rPr>
            </w:pPr>
            <w:r w:rsidDel="00000000" w:rsidR="00000000" w:rsidRPr="00000000">
              <w:rPr>
                <w:sz w:val="20"/>
                <w:szCs w:val="20"/>
                <w:rtl w:val="0"/>
              </w:rPr>
              <w:t xml:space="preserve">Wiring conduits, DB panels, LED lights, fans, earthing</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3">
            <w:pPr>
              <w:rPr>
                <w:sz w:val="20"/>
                <w:szCs w:val="20"/>
              </w:rPr>
            </w:pPr>
            <w:r w:rsidDel="00000000" w:rsidR="00000000" w:rsidRPr="00000000">
              <w:rPr>
                <w:sz w:val="20"/>
                <w:szCs w:val="20"/>
                <w:rtl w:val="0"/>
              </w:rPr>
              <w:t xml:space="preserve">55,000.00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4">
            <w:pPr>
              <w:rPr>
                <w:sz w:val="20"/>
                <w:szCs w:val="20"/>
              </w:rPr>
            </w:pPr>
            <w:r w:rsidDel="00000000" w:rsidR="00000000" w:rsidRPr="00000000">
              <w:rPr>
                <w:b w:val="1"/>
                <w:bCs w:val="1"/>
                <w:sz w:val="20"/>
                <w:szCs w:val="20"/>
                <w:rtl w:val="0"/>
              </w:rPr>
              <w:t xml:space="preserve">Miscellaneous &amp; Contingencies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5">
            <w:pPr>
              <w:rPr>
                <w:sz w:val="20"/>
                <w:szCs w:val="20"/>
              </w:rPr>
            </w:pPr>
            <w:r w:rsidDel="00000000" w:rsidR="00000000" w:rsidRPr="00000000">
              <w:rPr>
                <w:sz w:val="20"/>
                <w:szCs w:val="20"/>
                <w:rtl w:val="0"/>
              </w:rPr>
              <w:t xml:space="preserve">Architectural/structural fees (5%), approvals, labor overheads, insurance, escalation buffer (5%), temporary works</w:t>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6">
            <w:pPr>
              <w:rPr>
                <w:sz w:val="20"/>
                <w:szCs w:val="20"/>
              </w:rPr>
            </w:pPr>
            <w:r w:rsidDel="00000000" w:rsidR="00000000" w:rsidRPr="00000000">
              <w:rPr>
                <w:sz w:val="20"/>
                <w:szCs w:val="20"/>
                <w:rtl w:val="0"/>
              </w:rPr>
              <w:t xml:space="preserve">1,00,000.00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7">
            <w:pPr>
              <w:rPr>
                <w:sz w:val="20"/>
                <w:szCs w:val="20"/>
              </w:rPr>
            </w:pPr>
            <w:r w:rsidDel="00000000" w:rsidR="00000000" w:rsidRPr="00000000">
              <w:rPr>
                <w:b w:val="1"/>
                <w:bCs w:val="1"/>
                <w:sz w:val="20"/>
                <w:szCs w:val="20"/>
                <w:rtl w:val="0"/>
              </w:rPr>
              <w:t xml:space="preserve">Total Requested Cost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8">
            <w:pPr>
              <w:rPr>
                <w:sz w:val="20"/>
                <w:szCs w:val="20"/>
              </w:rPr>
            </w:pPr>
            <w:r w:rsidDel="00000000" w:rsidR="00000000" w:rsidRPr="00000000">
              <w:rPr>
                <w:b w:val="1"/>
                <w:bCs w:val="1"/>
                <w:sz w:val="20"/>
                <w:szCs w:val="20"/>
                <w:rtl w:val="0"/>
              </w:rPr>
              <w:t xml:space="preserve">For construction of one educational classroom of 400 sq ft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89">
            <w:pPr>
              <w:rPr>
                <w:sz w:val="20"/>
                <w:szCs w:val="20"/>
              </w:rPr>
            </w:pPr>
            <w:r w:rsidDel="00000000" w:rsidR="00000000" w:rsidRPr="00000000">
              <w:rPr>
                <w:b w:val="1"/>
                <w:bCs w:val="1"/>
                <w:sz w:val="20"/>
                <w:szCs w:val="20"/>
                <w:rtl w:val="0"/>
              </w:rPr>
              <w:t xml:space="preserve">10,04,000.00</w:t>
            </w:r>
            <w:r w:rsidDel="00000000" w:rsidR="00000000" w:rsidRPr="00000000">
              <w:rPr>
                <w:rtl w:val="0"/>
              </w:rPr>
            </w:r>
          </w:p>
        </w:tc>
      </w:tr>
    </w:tbl>
    <w:p w:rsidR="00000000" w:rsidDel="00000000" w:rsidP="00000000" w:rsidRDefault="00000000" w:rsidRPr="00000000" w14:paraId="0000008A">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