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98B707" w14:textId="2754FA71" w:rsidR="00EB7212" w:rsidRPr="00A25805" w:rsidRDefault="00EB7212" w:rsidP="00EB7212">
      <w:pPr>
        <w:jc w:val="center"/>
        <w:rPr>
          <w:rFonts w:ascii="Garamond" w:hAnsi="Garamond"/>
          <w:b/>
          <w:bCs/>
          <w:sz w:val="28"/>
          <w:szCs w:val="28"/>
        </w:rPr>
      </w:pPr>
      <w:r w:rsidRPr="00A25805">
        <w:rPr>
          <w:rFonts w:ascii="Garamond" w:hAnsi="Garamond"/>
          <w:b/>
          <w:bCs/>
          <w:sz w:val="28"/>
          <w:szCs w:val="28"/>
        </w:rPr>
        <w:t xml:space="preserve">Proposal &amp; Budget Plan for </w:t>
      </w:r>
      <w:r w:rsidR="00CE588F">
        <w:rPr>
          <w:rFonts w:ascii="Garamond" w:hAnsi="Garamond"/>
          <w:b/>
          <w:bCs/>
          <w:sz w:val="28"/>
          <w:szCs w:val="28"/>
        </w:rPr>
        <w:t xml:space="preserve">Digital </w:t>
      </w:r>
      <w:r w:rsidR="00587284">
        <w:rPr>
          <w:rFonts w:ascii="Garamond" w:hAnsi="Garamond"/>
          <w:b/>
          <w:bCs/>
          <w:sz w:val="28"/>
          <w:szCs w:val="28"/>
        </w:rPr>
        <w:t>Education Programme</w:t>
      </w:r>
    </w:p>
    <w:p w14:paraId="72B274B6" w14:textId="7BB60C5D" w:rsidR="00EB7212" w:rsidRPr="00A25805" w:rsidRDefault="00EB7212" w:rsidP="00EB7212">
      <w:pPr>
        <w:jc w:val="center"/>
        <w:rPr>
          <w:rFonts w:ascii="Garamond" w:hAnsi="Garamond"/>
          <w:b/>
          <w:bCs/>
          <w:sz w:val="28"/>
          <w:szCs w:val="28"/>
        </w:rPr>
      </w:pPr>
      <w:r w:rsidRPr="00A25805">
        <w:rPr>
          <w:rFonts w:ascii="Garamond" w:hAnsi="Garamond"/>
          <w:b/>
          <w:bCs/>
          <w:sz w:val="28"/>
          <w:szCs w:val="28"/>
        </w:rPr>
        <w:t xml:space="preserve">Support </w:t>
      </w:r>
      <w:r w:rsidR="00587284">
        <w:rPr>
          <w:rFonts w:ascii="Garamond" w:hAnsi="Garamond"/>
          <w:b/>
          <w:bCs/>
          <w:sz w:val="28"/>
          <w:szCs w:val="28"/>
        </w:rPr>
        <w:t>Group</w:t>
      </w:r>
      <w:r w:rsidRPr="00A25805">
        <w:rPr>
          <w:rFonts w:ascii="Garamond" w:hAnsi="Garamond"/>
          <w:b/>
          <w:bCs/>
          <w:sz w:val="28"/>
          <w:szCs w:val="28"/>
        </w:rPr>
        <w:t xml:space="preserve">: ASHA </w:t>
      </w:r>
      <w:r w:rsidR="00587284">
        <w:rPr>
          <w:rFonts w:ascii="Garamond" w:hAnsi="Garamond"/>
          <w:b/>
          <w:bCs/>
          <w:sz w:val="28"/>
          <w:szCs w:val="28"/>
        </w:rPr>
        <w:t xml:space="preserve">FOR EDUCATION- </w:t>
      </w:r>
      <w:r w:rsidR="00CE588F">
        <w:rPr>
          <w:rFonts w:ascii="Garamond" w:hAnsi="Garamond"/>
          <w:b/>
          <w:bCs/>
          <w:sz w:val="28"/>
          <w:szCs w:val="28"/>
        </w:rPr>
        <w:t xml:space="preserve">Silicon Vally  </w:t>
      </w:r>
    </w:p>
    <w:p w14:paraId="4EE6A5DA" w14:textId="037F5C67" w:rsidR="00EB7212" w:rsidRDefault="00EB7212" w:rsidP="00EB7212">
      <w:pPr>
        <w:jc w:val="center"/>
        <w:rPr>
          <w:rFonts w:ascii="Garamond" w:hAnsi="Garamond"/>
          <w:b/>
          <w:bCs/>
          <w:sz w:val="28"/>
          <w:szCs w:val="28"/>
        </w:rPr>
      </w:pPr>
      <w:r w:rsidRPr="00A25805">
        <w:rPr>
          <w:rFonts w:ascii="Garamond" w:hAnsi="Garamond"/>
          <w:b/>
          <w:bCs/>
          <w:sz w:val="28"/>
          <w:szCs w:val="28"/>
        </w:rPr>
        <w:t xml:space="preserve">Projection period </w:t>
      </w:r>
      <w:r w:rsidR="003B27E3">
        <w:rPr>
          <w:rFonts w:ascii="Garamond" w:hAnsi="Garamond"/>
          <w:b/>
          <w:bCs/>
          <w:sz w:val="28"/>
          <w:szCs w:val="28"/>
        </w:rPr>
        <w:t xml:space="preserve">: </w:t>
      </w:r>
      <w:r w:rsidR="00E15A27">
        <w:rPr>
          <w:rFonts w:ascii="Garamond" w:hAnsi="Garamond"/>
          <w:b/>
          <w:bCs/>
          <w:sz w:val="28"/>
          <w:szCs w:val="28"/>
        </w:rPr>
        <w:t>2025-2026</w:t>
      </w:r>
    </w:p>
    <w:p w14:paraId="5AC3E995" w14:textId="14556ADC" w:rsidR="00587284" w:rsidRDefault="00257AFA" w:rsidP="00A25805">
      <w:pPr>
        <w:jc w:val="both"/>
        <w:rPr>
          <w:rFonts w:ascii="Garamond" w:hAnsi="Garamond"/>
          <w:sz w:val="28"/>
          <w:szCs w:val="28"/>
        </w:rPr>
      </w:pPr>
      <w:r w:rsidRPr="00A25805">
        <w:rPr>
          <w:rFonts w:ascii="Garamond" w:hAnsi="Garamond"/>
          <w:b/>
          <w:bCs/>
          <w:sz w:val="28"/>
          <w:szCs w:val="28"/>
        </w:rPr>
        <w:t>Introduction</w:t>
      </w:r>
      <w:r w:rsidRPr="00A25805">
        <w:rPr>
          <w:rFonts w:ascii="Garamond" w:hAnsi="Garamond"/>
          <w:sz w:val="28"/>
          <w:szCs w:val="28"/>
        </w:rPr>
        <w:t xml:space="preserve">: </w:t>
      </w:r>
      <w:r w:rsidR="00587284">
        <w:rPr>
          <w:rFonts w:ascii="Garamond" w:hAnsi="Garamond"/>
          <w:sz w:val="28"/>
          <w:szCs w:val="28"/>
        </w:rPr>
        <w:t>Sankalp Ek Prayas has started Digital Education Intervention in Government Schools in Chhattisgarh from the support of ASHA-SV and the initiative has been a grand success transforming the school education system through integration of digital classroom and digital education through involvement of trained Sankalp Ek Prayas (SEP) facilitators in more than 200 Government Schools at Present. The outstanding performance of children [ 65 Children already selected for NAVODAYA, 49 Children already selected in NMMSE] and approx. 150 more expected to be cracking in NMMSE (National</w:t>
      </w:r>
      <w:r w:rsidR="00587284" w:rsidRPr="00A25805">
        <w:rPr>
          <w:rFonts w:ascii="Garamond" w:hAnsi="Garamond"/>
          <w:sz w:val="28"/>
          <w:szCs w:val="28"/>
        </w:rPr>
        <w:t xml:space="preserve"> Means-cum-Merit Scholarship Examination</w:t>
      </w:r>
      <w:r w:rsidR="00587284">
        <w:rPr>
          <w:rFonts w:ascii="Garamond" w:hAnsi="Garamond"/>
          <w:sz w:val="28"/>
          <w:szCs w:val="28"/>
        </w:rPr>
        <w:t>) for which result is awaited.</w:t>
      </w:r>
    </w:p>
    <w:p w14:paraId="5DBDDB5B" w14:textId="25795415" w:rsidR="00587284" w:rsidRDefault="00587284" w:rsidP="00A25805">
      <w:pPr>
        <w:jc w:val="both"/>
        <w:rPr>
          <w:rFonts w:ascii="Garamond" w:hAnsi="Garamond"/>
          <w:sz w:val="28"/>
          <w:szCs w:val="28"/>
        </w:rPr>
      </w:pPr>
      <w:r>
        <w:rPr>
          <w:rFonts w:ascii="Garamond" w:hAnsi="Garamond"/>
          <w:sz w:val="28"/>
          <w:szCs w:val="28"/>
        </w:rPr>
        <w:t>The recent third-party external assessment done by SAATHI ASSESSMENT GROUP in 2025 Feb-March-25 validated that SEP children are outperforming their peers in rural India in all subject. This third-party assessment validation has brought new dimensions to the success of the project.</w:t>
      </w:r>
    </w:p>
    <w:p w14:paraId="6F9AAD73" w14:textId="63EDBC75" w:rsidR="00587284" w:rsidRDefault="00B13985" w:rsidP="00A25805">
      <w:pPr>
        <w:jc w:val="both"/>
        <w:rPr>
          <w:rFonts w:ascii="Garamond" w:hAnsi="Garamond"/>
          <w:sz w:val="28"/>
          <w:szCs w:val="28"/>
        </w:rPr>
      </w:pPr>
      <w:r w:rsidRPr="00A25805">
        <w:rPr>
          <w:rFonts w:ascii="Garamond" w:hAnsi="Garamond"/>
          <w:b/>
          <w:bCs/>
          <w:sz w:val="28"/>
          <w:szCs w:val="28"/>
        </w:rPr>
        <w:t>Coverage</w:t>
      </w:r>
      <w:r w:rsidRPr="00A25805">
        <w:rPr>
          <w:rFonts w:ascii="Garamond" w:hAnsi="Garamond"/>
          <w:sz w:val="28"/>
          <w:szCs w:val="28"/>
        </w:rPr>
        <w:t xml:space="preserve">: </w:t>
      </w:r>
      <w:r w:rsidR="00587284">
        <w:rPr>
          <w:rFonts w:ascii="Garamond" w:hAnsi="Garamond"/>
          <w:sz w:val="28"/>
          <w:szCs w:val="28"/>
        </w:rPr>
        <w:t>The digital education intervention of SEP-ASHA SV is one of Indias’s biggest endeavour reaching to 2</w:t>
      </w:r>
      <w:r>
        <w:rPr>
          <w:rFonts w:ascii="Garamond" w:hAnsi="Garamond"/>
          <w:sz w:val="28"/>
          <w:szCs w:val="28"/>
        </w:rPr>
        <w:t>09</w:t>
      </w:r>
      <w:r w:rsidR="00587284">
        <w:rPr>
          <w:rFonts w:ascii="Garamond" w:hAnsi="Garamond"/>
          <w:sz w:val="28"/>
          <w:szCs w:val="28"/>
        </w:rPr>
        <w:t xml:space="preserve"> Schools [175 Primary covering </w:t>
      </w:r>
      <w:r>
        <w:rPr>
          <w:rFonts w:ascii="Garamond" w:hAnsi="Garamond"/>
          <w:sz w:val="28"/>
          <w:szCs w:val="28"/>
        </w:rPr>
        <w:t xml:space="preserve">11000 children (e-Merge) </w:t>
      </w:r>
      <w:r w:rsidR="00587284">
        <w:rPr>
          <w:rFonts w:ascii="Garamond" w:hAnsi="Garamond"/>
          <w:sz w:val="28"/>
          <w:szCs w:val="28"/>
        </w:rPr>
        <w:t xml:space="preserve">and 34 Middle/High Schools covering </w:t>
      </w:r>
      <w:r>
        <w:rPr>
          <w:rFonts w:ascii="Garamond" w:hAnsi="Garamond"/>
          <w:sz w:val="28"/>
          <w:szCs w:val="28"/>
        </w:rPr>
        <w:t>2748 Children (e-Uddan) totalling approx. 13748 children through the LOW-COST HIGH IMPACT intervention.</w:t>
      </w:r>
    </w:p>
    <w:p w14:paraId="129132EB" w14:textId="25B82CE1" w:rsidR="00CF656E" w:rsidRDefault="00B13985" w:rsidP="00A25805">
      <w:pPr>
        <w:jc w:val="both"/>
        <w:rPr>
          <w:rFonts w:ascii="Garamond" w:hAnsi="Garamond"/>
          <w:sz w:val="28"/>
          <w:szCs w:val="28"/>
        </w:rPr>
      </w:pPr>
      <w:r>
        <w:rPr>
          <w:rFonts w:ascii="Garamond" w:hAnsi="Garamond"/>
          <w:sz w:val="28"/>
          <w:szCs w:val="28"/>
        </w:rPr>
        <w:t xml:space="preserve">SEP-ASHA SV e-Merge and e-Uddan initiatives have </w:t>
      </w:r>
      <w:r w:rsidR="00CF656E" w:rsidRPr="00CF656E">
        <w:rPr>
          <w:rFonts w:ascii="Garamond" w:hAnsi="Garamond"/>
          <w:sz w:val="28"/>
          <w:szCs w:val="28"/>
        </w:rPr>
        <w:t>transformed the learning landscape</w:t>
      </w:r>
      <w:r>
        <w:rPr>
          <w:rFonts w:ascii="Garamond" w:hAnsi="Garamond"/>
          <w:sz w:val="28"/>
          <w:szCs w:val="28"/>
        </w:rPr>
        <w:t xml:space="preserve"> in rural Chhattisgarh</w:t>
      </w:r>
      <w:r w:rsidR="00CF656E" w:rsidRPr="00CF656E">
        <w:rPr>
          <w:rFonts w:ascii="Garamond" w:hAnsi="Garamond"/>
          <w:sz w:val="28"/>
          <w:szCs w:val="28"/>
        </w:rPr>
        <w:t xml:space="preserve"> by providing high-quality, accessible education to students, bridging the digital divide and empowering them with skills and knowledge for a brighter future.</w:t>
      </w:r>
      <w:r w:rsidR="00CF656E">
        <w:rPr>
          <w:rFonts w:ascii="Garamond" w:hAnsi="Garamond"/>
          <w:sz w:val="28"/>
          <w:szCs w:val="28"/>
        </w:rPr>
        <w:t xml:space="preserve"> </w:t>
      </w:r>
    </w:p>
    <w:p w14:paraId="2314F7BE" w14:textId="18DD7890" w:rsidR="00A25805" w:rsidRPr="00A25805" w:rsidRDefault="00A25805" w:rsidP="00A25805">
      <w:pPr>
        <w:jc w:val="both"/>
        <w:rPr>
          <w:rFonts w:ascii="Garamond" w:hAnsi="Garamond"/>
          <w:b/>
          <w:bCs/>
          <w:sz w:val="28"/>
          <w:szCs w:val="28"/>
        </w:rPr>
      </w:pPr>
      <w:r w:rsidRPr="00A25805">
        <w:rPr>
          <w:rFonts w:ascii="Garamond" w:hAnsi="Garamond"/>
          <w:b/>
          <w:bCs/>
          <w:sz w:val="28"/>
          <w:szCs w:val="28"/>
        </w:rPr>
        <w:t xml:space="preserve">Projection of Year 2025-26: </w:t>
      </w:r>
    </w:p>
    <w:p w14:paraId="68A2DECD" w14:textId="4244497E" w:rsidR="003F78B7" w:rsidRPr="00B13985" w:rsidRDefault="003F78B7" w:rsidP="00B13985">
      <w:pPr>
        <w:pStyle w:val="ListParagraph"/>
        <w:numPr>
          <w:ilvl w:val="0"/>
          <w:numId w:val="3"/>
        </w:numPr>
        <w:jc w:val="both"/>
        <w:rPr>
          <w:rFonts w:ascii="Garamond" w:hAnsi="Garamond"/>
          <w:sz w:val="28"/>
          <w:szCs w:val="28"/>
        </w:rPr>
      </w:pPr>
      <w:r w:rsidRPr="00B13985">
        <w:rPr>
          <w:rFonts w:ascii="Garamond" w:hAnsi="Garamond"/>
          <w:sz w:val="28"/>
          <w:szCs w:val="28"/>
        </w:rPr>
        <w:t xml:space="preserve">Continuation of effective implementation of </w:t>
      </w:r>
      <w:r w:rsidR="00B13985" w:rsidRPr="00B13985">
        <w:rPr>
          <w:rFonts w:ascii="Garamond" w:hAnsi="Garamond"/>
          <w:sz w:val="28"/>
          <w:szCs w:val="28"/>
        </w:rPr>
        <w:t>digital education</w:t>
      </w:r>
      <w:r w:rsidRPr="00B13985">
        <w:rPr>
          <w:rFonts w:ascii="Garamond" w:hAnsi="Garamond"/>
          <w:sz w:val="28"/>
          <w:szCs w:val="28"/>
        </w:rPr>
        <w:t xml:space="preserve"> initiative </w:t>
      </w:r>
      <w:r w:rsidR="00B13985" w:rsidRPr="00B13985">
        <w:rPr>
          <w:rFonts w:ascii="Garamond" w:hAnsi="Garamond"/>
          <w:sz w:val="28"/>
          <w:szCs w:val="28"/>
        </w:rPr>
        <w:t>in existing</w:t>
      </w:r>
      <w:r w:rsidRPr="00B13985">
        <w:rPr>
          <w:rFonts w:ascii="Garamond" w:hAnsi="Garamond"/>
          <w:sz w:val="28"/>
          <w:szCs w:val="28"/>
        </w:rPr>
        <w:t xml:space="preserve"> schools. </w:t>
      </w:r>
    </w:p>
    <w:p w14:paraId="199FAC2F" w14:textId="77777777" w:rsidR="00B13985" w:rsidRDefault="003F78B7" w:rsidP="00B13985">
      <w:pPr>
        <w:pStyle w:val="ListParagraph"/>
        <w:numPr>
          <w:ilvl w:val="0"/>
          <w:numId w:val="3"/>
        </w:numPr>
        <w:jc w:val="both"/>
        <w:rPr>
          <w:rFonts w:ascii="Garamond" w:hAnsi="Garamond"/>
          <w:sz w:val="28"/>
          <w:szCs w:val="28"/>
        </w:rPr>
      </w:pPr>
      <w:r w:rsidRPr="00B13985">
        <w:rPr>
          <w:rFonts w:ascii="Garamond" w:hAnsi="Garamond"/>
          <w:sz w:val="28"/>
          <w:szCs w:val="28"/>
        </w:rPr>
        <w:t>Expansion of e</w:t>
      </w:r>
      <w:r w:rsidR="00B13985" w:rsidRPr="00B13985">
        <w:rPr>
          <w:rFonts w:ascii="Garamond" w:hAnsi="Garamond"/>
          <w:sz w:val="28"/>
          <w:szCs w:val="28"/>
        </w:rPr>
        <w:t xml:space="preserve">-Merge (Primary School Digital learning) to 250 Government Schools and e-Uddan (Middle/High School Digital learning) </w:t>
      </w:r>
      <w:r w:rsidR="00BD2E6F" w:rsidRPr="00B13985">
        <w:rPr>
          <w:rFonts w:ascii="Garamond" w:hAnsi="Garamond"/>
          <w:sz w:val="28"/>
          <w:szCs w:val="28"/>
        </w:rPr>
        <w:t xml:space="preserve">initiative in </w:t>
      </w:r>
      <w:r w:rsidR="00B13985" w:rsidRPr="00B13985">
        <w:rPr>
          <w:rFonts w:ascii="Garamond" w:hAnsi="Garamond"/>
          <w:sz w:val="28"/>
          <w:szCs w:val="28"/>
        </w:rPr>
        <w:t xml:space="preserve">60 </w:t>
      </w:r>
      <w:r w:rsidR="00BD2E6F" w:rsidRPr="00B13985">
        <w:rPr>
          <w:rFonts w:ascii="Garamond" w:hAnsi="Garamond"/>
          <w:sz w:val="28"/>
          <w:szCs w:val="28"/>
        </w:rPr>
        <w:t xml:space="preserve">government schools. </w:t>
      </w:r>
    </w:p>
    <w:p w14:paraId="5F4E32E5" w14:textId="77777777" w:rsidR="00B13985" w:rsidRDefault="00F86525" w:rsidP="00A25805">
      <w:pPr>
        <w:pStyle w:val="ListParagraph"/>
        <w:numPr>
          <w:ilvl w:val="0"/>
          <w:numId w:val="3"/>
        </w:numPr>
        <w:jc w:val="both"/>
        <w:rPr>
          <w:rFonts w:ascii="Garamond" w:hAnsi="Garamond"/>
          <w:sz w:val="28"/>
          <w:szCs w:val="28"/>
        </w:rPr>
      </w:pPr>
      <w:r w:rsidRPr="00B13985">
        <w:rPr>
          <w:rFonts w:ascii="Garamond" w:hAnsi="Garamond"/>
          <w:sz w:val="28"/>
          <w:szCs w:val="28"/>
        </w:rPr>
        <w:t xml:space="preserve">Total projected coverage – </w:t>
      </w:r>
      <w:r w:rsidR="00B13985" w:rsidRPr="00B13985">
        <w:rPr>
          <w:rFonts w:ascii="Garamond" w:hAnsi="Garamond"/>
          <w:sz w:val="28"/>
          <w:szCs w:val="28"/>
        </w:rPr>
        <w:t>200</w:t>
      </w:r>
      <w:r w:rsidRPr="00B13985">
        <w:rPr>
          <w:rFonts w:ascii="Garamond" w:hAnsi="Garamond"/>
          <w:sz w:val="28"/>
          <w:szCs w:val="28"/>
        </w:rPr>
        <w:t xml:space="preserve">00 students.  </w:t>
      </w:r>
    </w:p>
    <w:p w14:paraId="2A53F030" w14:textId="112E56E7" w:rsidR="00B13985" w:rsidRDefault="00BD2E6F" w:rsidP="00A25805">
      <w:pPr>
        <w:pStyle w:val="ListParagraph"/>
        <w:numPr>
          <w:ilvl w:val="0"/>
          <w:numId w:val="3"/>
        </w:numPr>
        <w:jc w:val="both"/>
        <w:rPr>
          <w:rFonts w:ascii="Garamond" w:hAnsi="Garamond"/>
          <w:sz w:val="28"/>
          <w:szCs w:val="28"/>
        </w:rPr>
      </w:pPr>
      <w:r w:rsidRPr="00B13985">
        <w:rPr>
          <w:rFonts w:ascii="Garamond" w:hAnsi="Garamond"/>
          <w:sz w:val="28"/>
          <w:szCs w:val="28"/>
        </w:rPr>
        <w:t xml:space="preserve">Capacity building of facilitators and block coordinators. </w:t>
      </w:r>
    </w:p>
    <w:p w14:paraId="497E667B" w14:textId="39C883B5" w:rsidR="00B13985" w:rsidRDefault="00BD2E6F" w:rsidP="00A25805">
      <w:pPr>
        <w:pStyle w:val="ListParagraph"/>
        <w:numPr>
          <w:ilvl w:val="0"/>
          <w:numId w:val="3"/>
        </w:numPr>
        <w:jc w:val="both"/>
        <w:rPr>
          <w:rFonts w:ascii="Garamond" w:hAnsi="Garamond"/>
          <w:sz w:val="28"/>
          <w:szCs w:val="28"/>
        </w:rPr>
      </w:pPr>
      <w:r w:rsidRPr="00B13985">
        <w:rPr>
          <w:rFonts w:ascii="Garamond" w:hAnsi="Garamond"/>
          <w:sz w:val="28"/>
          <w:szCs w:val="28"/>
        </w:rPr>
        <w:t xml:space="preserve">Organizing academic workshops by subject matter experts. </w:t>
      </w:r>
    </w:p>
    <w:p w14:paraId="362CB7C7" w14:textId="69E6775F" w:rsidR="003F78B7" w:rsidRPr="00B13985" w:rsidRDefault="00BD2E6F" w:rsidP="00A25805">
      <w:pPr>
        <w:pStyle w:val="ListParagraph"/>
        <w:numPr>
          <w:ilvl w:val="0"/>
          <w:numId w:val="3"/>
        </w:numPr>
        <w:jc w:val="both"/>
        <w:rPr>
          <w:rFonts w:ascii="Garamond" w:hAnsi="Garamond"/>
          <w:sz w:val="28"/>
          <w:szCs w:val="28"/>
        </w:rPr>
      </w:pPr>
      <w:r w:rsidRPr="00B13985">
        <w:rPr>
          <w:rFonts w:ascii="Garamond" w:hAnsi="Garamond"/>
          <w:sz w:val="28"/>
          <w:szCs w:val="28"/>
        </w:rPr>
        <w:t xml:space="preserve">Collaboration with State/ district education department for the training support to government teachers.    </w:t>
      </w:r>
      <w:r w:rsidR="003F78B7" w:rsidRPr="00B13985">
        <w:rPr>
          <w:rFonts w:ascii="Garamond" w:hAnsi="Garamond"/>
          <w:sz w:val="28"/>
          <w:szCs w:val="28"/>
        </w:rPr>
        <w:t xml:space="preserve"> </w:t>
      </w:r>
    </w:p>
    <w:p w14:paraId="1FA33BB8" w14:textId="32C0C5B6" w:rsidR="00A25805" w:rsidRPr="00BD2E6F" w:rsidRDefault="003F78B7" w:rsidP="00A25805">
      <w:pPr>
        <w:jc w:val="both"/>
        <w:rPr>
          <w:rFonts w:ascii="Garamond" w:hAnsi="Garamond"/>
          <w:sz w:val="28"/>
          <w:szCs w:val="28"/>
        </w:rPr>
      </w:pPr>
      <w:r>
        <w:rPr>
          <w:rFonts w:ascii="Garamond" w:hAnsi="Garamond"/>
          <w:sz w:val="28"/>
          <w:szCs w:val="28"/>
        </w:rPr>
        <w:t xml:space="preserve"> </w:t>
      </w:r>
      <w:r w:rsidR="00A25805" w:rsidRPr="00A25805">
        <w:rPr>
          <w:rFonts w:ascii="Garamond" w:hAnsi="Garamond"/>
          <w:b/>
          <w:bCs/>
          <w:sz w:val="28"/>
          <w:szCs w:val="28"/>
        </w:rPr>
        <w:t>The projected outcomes include:</w:t>
      </w:r>
    </w:p>
    <w:p w14:paraId="22DEEE39" w14:textId="027E10AF" w:rsidR="00BD2E6F" w:rsidRPr="00BD2E6F" w:rsidRDefault="00A25805" w:rsidP="00BD2E6F">
      <w:pPr>
        <w:jc w:val="both"/>
        <w:rPr>
          <w:rFonts w:ascii="Garamond" w:hAnsi="Garamond"/>
          <w:sz w:val="28"/>
          <w:szCs w:val="28"/>
        </w:rPr>
      </w:pPr>
      <w:r w:rsidRPr="00A25805">
        <w:rPr>
          <w:rFonts w:ascii="Garamond" w:hAnsi="Garamond"/>
          <w:sz w:val="28"/>
          <w:szCs w:val="28"/>
        </w:rPr>
        <w:lastRenderedPageBreak/>
        <w:t xml:space="preserve">- </w:t>
      </w:r>
      <w:r w:rsidR="00BD2E6F" w:rsidRPr="00BD2E6F">
        <w:rPr>
          <w:rFonts w:ascii="Garamond" w:hAnsi="Garamond"/>
          <w:sz w:val="28"/>
          <w:szCs w:val="28"/>
        </w:rPr>
        <w:t>Improved academic performance and engagement among students</w:t>
      </w:r>
    </w:p>
    <w:p w14:paraId="5D65B41B" w14:textId="77777777" w:rsidR="00BD2E6F" w:rsidRPr="00BD2E6F" w:rsidRDefault="00BD2E6F" w:rsidP="00BD2E6F">
      <w:pPr>
        <w:jc w:val="both"/>
        <w:rPr>
          <w:rFonts w:ascii="Garamond" w:hAnsi="Garamond"/>
          <w:sz w:val="28"/>
          <w:szCs w:val="28"/>
        </w:rPr>
      </w:pPr>
      <w:r w:rsidRPr="00BD2E6F">
        <w:rPr>
          <w:rFonts w:ascii="Garamond" w:hAnsi="Garamond"/>
          <w:sz w:val="28"/>
          <w:szCs w:val="28"/>
        </w:rPr>
        <w:t>- Enhanced digital literacy and skills among students and teachers</w:t>
      </w:r>
    </w:p>
    <w:p w14:paraId="21BB60E1" w14:textId="77777777" w:rsidR="00BD2E6F" w:rsidRPr="00BD2E6F" w:rsidRDefault="00BD2E6F" w:rsidP="00BD2E6F">
      <w:pPr>
        <w:jc w:val="both"/>
        <w:rPr>
          <w:rFonts w:ascii="Garamond" w:hAnsi="Garamond"/>
          <w:sz w:val="28"/>
          <w:szCs w:val="28"/>
        </w:rPr>
      </w:pPr>
      <w:r w:rsidRPr="00BD2E6F">
        <w:rPr>
          <w:rFonts w:ascii="Garamond" w:hAnsi="Garamond"/>
          <w:sz w:val="28"/>
          <w:szCs w:val="28"/>
        </w:rPr>
        <w:t>- Increased access to quality educational resources and content</w:t>
      </w:r>
    </w:p>
    <w:p w14:paraId="2C804EE3" w14:textId="77777777" w:rsidR="00BD2E6F" w:rsidRPr="00BD2E6F" w:rsidRDefault="00BD2E6F" w:rsidP="00BD2E6F">
      <w:pPr>
        <w:jc w:val="both"/>
        <w:rPr>
          <w:rFonts w:ascii="Garamond" w:hAnsi="Garamond"/>
          <w:sz w:val="28"/>
          <w:szCs w:val="28"/>
        </w:rPr>
      </w:pPr>
      <w:r w:rsidRPr="00BD2E6F">
        <w:rPr>
          <w:rFonts w:ascii="Garamond" w:hAnsi="Garamond"/>
          <w:sz w:val="28"/>
          <w:szCs w:val="28"/>
        </w:rPr>
        <w:t>- Bridging of geographical and socio-economic divides in education</w:t>
      </w:r>
    </w:p>
    <w:p w14:paraId="3802D830" w14:textId="77777777" w:rsidR="00BD2E6F" w:rsidRDefault="00BD2E6F" w:rsidP="00BD2E6F">
      <w:pPr>
        <w:jc w:val="both"/>
        <w:rPr>
          <w:rFonts w:ascii="Garamond" w:hAnsi="Garamond"/>
          <w:sz w:val="28"/>
          <w:szCs w:val="28"/>
        </w:rPr>
      </w:pPr>
      <w:r w:rsidRPr="00BD2E6F">
        <w:rPr>
          <w:rFonts w:ascii="Garamond" w:hAnsi="Garamond"/>
          <w:sz w:val="28"/>
          <w:szCs w:val="28"/>
        </w:rPr>
        <w:t xml:space="preserve">- Empowerment of students to take ownership of their learning and future </w:t>
      </w:r>
    </w:p>
    <w:p w14:paraId="75CC3D79" w14:textId="583FA6B4" w:rsidR="00A25805" w:rsidRPr="00A25805" w:rsidRDefault="00B13985" w:rsidP="00A25805">
      <w:pPr>
        <w:jc w:val="both"/>
        <w:rPr>
          <w:rFonts w:ascii="Garamond" w:hAnsi="Garamond"/>
          <w:sz w:val="28"/>
          <w:szCs w:val="28"/>
        </w:rPr>
      </w:pPr>
      <w:r>
        <w:rPr>
          <w:rFonts w:ascii="Garamond" w:hAnsi="Garamond"/>
          <w:sz w:val="28"/>
          <w:szCs w:val="28"/>
        </w:rPr>
        <w:t>T</w:t>
      </w:r>
      <w:r w:rsidR="00BD2E6F" w:rsidRPr="00BD2E6F">
        <w:rPr>
          <w:rFonts w:ascii="Garamond" w:hAnsi="Garamond"/>
          <w:sz w:val="28"/>
          <w:szCs w:val="28"/>
        </w:rPr>
        <w:t xml:space="preserve">he </w:t>
      </w:r>
      <w:r>
        <w:rPr>
          <w:rFonts w:ascii="Garamond" w:hAnsi="Garamond"/>
          <w:sz w:val="28"/>
          <w:szCs w:val="28"/>
        </w:rPr>
        <w:t>SEP-ASHA SV</w:t>
      </w:r>
      <w:r w:rsidR="00BD2E6F" w:rsidRPr="00BD2E6F">
        <w:rPr>
          <w:rFonts w:ascii="Garamond" w:hAnsi="Garamond"/>
          <w:sz w:val="28"/>
          <w:szCs w:val="28"/>
        </w:rPr>
        <w:t xml:space="preserve"> Digital Classroom initiative has the potential to create a lasting impact on the education landscape, promoting inclusivity, equity, and excellence in learning.</w:t>
      </w:r>
    </w:p>
    <w:p w14:paraId="7431A48E" w14:textId="55B2D24F" w:rsidR="00D94A4D" w:rsidRDefault="00DB636C" w:rsidP="00D94A4D">
      <w:pPr>
        <w:rPr>
          <w:rFonts w:ascii="Garamond" w:hAnsi="Garamond"/>
          <w:b/>
          <w:bCs/>
          <w:sz w:val="28"/>
          <w:szCs w:val="28"/>
        </w:rPr>
      </w:pPr>
      <w:r w:rsidRPr="00A25805">
        <w:rPr>
          <w:rFonts w:ascii="Garamond" w:hAnsi="Garamond"/>
          <w:sz w:val="28"/>
          <w:szCs w:val="28"/>
        </w:rPr>
        <w:t xml:space="preserve"> </w:t>
      </w:r>
      <w:r w:rsidR="00D94A4D" w:rsidRPr="00F24B4E">
        <w:rPr>
          <w:rFonts w:ascii="Garamond" w:hAnsi="Garamond"/>
          <w:b/>
          <w:bCs/>
          <w:sz w:val="28"/>
          <w:szCs w:val="28"/>
        </w:rPr>
        <w:t xml:space="preserve">Budget Estimation </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
        <w:gridCol w:w="1869"/>
        <w:gridCol w:w="1133"/>
        <w:gridCol w:w="992"/>
        <w:gridCol w:w="1274"/>
        <w:gridCol w:w="855"/>
        <w:gridCol w:w="1004"/>
        <w:gridCol w:w="1692"/>
      </w:tblGrid>
      <w:tr w:rsidR="009A2AC6" w:rsidRPr="009A2AC6" w14:paraId="7E57E58B" w14:textId="77777777" w:rsidTr="009A2AC6">
        <w:trPr>
          <w:trHeight w:val="1140"/>
        </w:trPr>
        <w:tc>
          <w:tcPr>
            <w:tcW w:w="957" w:type="dxa"/>
            <w:shd w:val="clear" w:color="000000" w:fill="FFC000"/>
            <w:vAlign w:val="center"/>
            <w:hideMark/>
          </w:tcPr>
          <w:p w14:paraId="0E6BDB25" w14:textId="77777777" w:rsidR="009A2AC6" w:rsidRPr="009A2AC6" w:rsidRDefault="009A2AC6" w:rsidP="009A2AC6">
            <w:pPr>
              <w:spacing w:after="0" w:line="240" w:lineRule="auto"/>
              <w:jc w:val="center"/>
              <w:rPr>
                <w:rFonts w:ascii="Garamond" w:eastAsia="Times New Roman" w:hAnsi="Garamond" w:cs="Calibri"/>
                <w:b/>
                <w:bCs/>
                <w:color w:val="000000"/>
                <w:kern w:val="0"/>
                <w:sz w:val="28"/>
                <w:szCs w:val="28"/>
                <w:lang w:eastAsia="en-IN"/>
                <w14:ligatures w14:val="none"/>
              </w:rPr>
            </w:pPr>
            <w:r w:rsidRPr="009A2AC6">
              <w:rPr>
                <w:rFonts w:ascii="Garamond" w:eastAsia="Times New Roman" w:hAnsi="Garamond" w:cs="Calibri"/>
                <w:b/>
                <w:bCs/>
                <w:kern w:val="0"/>
                <w:sz w:val="28"/>
                <w:szCs w:val="28"/>
                <w:lang w:eastAsia="en-IN"/>
                <w14:ligatures w14:val="none"/>
              </w:rPr>
              <w:t>Sn</w:t>
            </w:r>
          </w:p>
        </w:tc>
        <w:tc>
          <w:tcPr>
            <w:tcW w:w="1869" w:type="dxa"/>
            <w:shd w:val="clear" w:color="000000" w:fill="FFC000"/>
            <w:vAlign w:val="center"/>
            <w:hideMark/>
          </w:tcPr>
          <w:p w14:paraId="5AC2DEED" w14:textId="77777777" w:rsidR="009A2AC6" w:rsidRPr="009A2AC6" w:rsidRDefault="009A2AC6" w:rsidP="009A2AC6">
            <w:pPr>
              <w:spacing w:after="0" w:line="240" w:lineRule="auto"/>
              <w:jc w:val="center"/>
              <w:rPr>
                <w:rFonts w:ascii="Garamond" w:eastAsia="Times New Roman" w:hAnsi="Garamond" w:cs="Calibri"/>
                <w:b/>
                <w:bCs/>
                <w:color w:val="000000"/>
                <w:kern w:val="0"/>
                <w:sz w:val="28"/>
                <w:szCs w:val="28"/>
                <w:lang w:eastAsia="en-IN"/>
                <w14:ligatures w14:val="none"/>
              </w:rPr>
            </w:pPr>
            <w:r w:rsidRPr="009A2AC6">
              <w:rPr>
                <w:rFonts w:ascii="Garamond" w:eastAsia="Times New Roman" w:hAnsi="Garamond" w:cs="Calibri"/>
                <w:b/>
                <w:bCs/>
                <w:kern w:val="0"/>
                <w:sz w:val="28"/>
                <w:szCs w:val="28"/>
                <w:lang w:eastAsia="en-IN"/>
                <w14:ligatures w14:val="none"/>
              </w:rPr>
              <w:t>Intervention</w:t>
            </w:r>
          </w:p>
        </w:tc>
        <w:tc>
          <w:tcPr>
            <w:tcW w:w="1133" w:type="dxa"/>
            <w:shd w:val="clear" w:color="000000" w:fill="FFC000"/>
            <w:vAlign w:val="center"/>
            <w:hideMark/>
          </w:tcPr>
          <w:p w14:paraId="00EF04B1" w14:textId="77777777" w:rsidR="009A2AC6" w:rsidRPr="009A2AC6" w:rsidRDefault="009A2AC6" w:rsidP="009A2AC6">
            <w:pPr>
              <w:spacing w:after="0" w:line="240" w:lineRule="auto"/>
              <w:jc w:val="center"/>
              <w:rPr>
                <w:rFonts w:ascii="Garamond" w:eastAsia="Times New Roman" w:hAnsi="Garamond" w:cs="Calibri"/>
                <w:b/>
                <w:bCs/>
                <w:color w:val="000000"/>
                <w:kern w:val="0"/>
                <w:sz w:val="28"/>
                <w:szCs w:val="28"/>
                <w:lang w:eastAsia="en-IN"/>
                <w14:ligatures w14:val="none"/>
              </w:rPr>
            </w:pPr>
            <w:r w:rsidRPr="009A2AC6">
              <w:rPr>
                <w:rFonts w:ascii="Garamond" w:eastAsia="Times New Roman" w:hAnsi="Garamond" w:cs="Calibri"/>
                <w:b/>
                <w:bCs/>
                <w:kern w:val="0"/>
                <w:sz w:val="28"/>
                <w:szCs w:val="28"/>
                <w:lang w:eastAsia="en-IN"/>
                <w14:ligatures w14:val="none"/>
              </w:rPr>
              <w:t>Target Unit</w:t>
            </w:r>
          </w:p>
        </w:tc>
        <w:tc>
          <w:tcPr>
            <w:tcW w:w="992" w:type="dxa"/>
            <w:shd w:val="clear" w:color="000000" w:fill="FFC000"/>
            <w:vAlign w:val="center"/>
            <w:hideMark/>
          </w:tcPr>
          <w:p w14:paraId="6C939E90" w14:textId="77777777" w:rsidR="009A2AC6" w:rsidRPr="009A2AC6" w:rsidRDefault="009A2AC6" w:rsidP="009A2AC6">
            <w:pPr>
              <w:spacing w:after="0" w:line="240" w:lineRule="auto"/>
              <w:jc w:val="center"/>
              <w:rPr>
                <w:rFonts w:ascii="Garamond" w:eastAsia="Times New Roman" w:hAnsi="Garamond" w:cs="Calibri"/>
                <w:b/>
                <w:bCs/>
                <w:color w:val="000000"/>
                <w:kern w:val="0"/>
                <w:sz w:val="28"/>
                <w:szCs w:val="28"/>
                <w:lang w:eastAsia="en-IN"/>
                <w14:ligatures w14:val="none"/>
              </w:rPr>
            </w:pPr>
            <w:r w:rsidRPr="009A2AC6">
              <w:rPr>
                <w:rFonts w:ascii="Garamond" w:eastAsia="Times New Roman" w:hAnsi="Garamond" w:cs="Calibri"/>
                <w:b/>
                <w:bCs/>
                <w:kern w:val="0"/>
                <w:sz w:val="28"/>
                <w:szCs w:val="28"/>
                <w:lang w:eastAsia="en-IN"/>
                <w14:ligatures w14:val="none"/>
              </w:rPr>
              <w:t>Cost per unit</w:t>
            </w:r>
          </w:p>
        </w:tc>
        <w:tc>
          <w:tcPr>
            <w:tcW w:w="1274" w:type="dxa"/>
            <w:shd w:val="clear" w:color="000000" w:fill="FFC000"/>
            <w:vAlign w:val="center"/>
            <w:hideMark/>
          </w:tcPr>
          <w:p w14:paraId="7636F737" w14:textId="77777777" w:rsidR="009A2AC6" w:rsidRPr="009A2AC6" w:rsidRDefault="009A2AC6" w:rsidP="009A2AC6">
            <w:pPr>
              <w:spacing w:after="0" w:line="240" w:lineRule="auto"/>
              <w:jc w:val="center"/>
              <w:rPr>
                <w:rFonts w:ascii="Garamond" w:eastAsia="Times New Roman" w:hAnsi="Garamond" w:cs="Calibri"/>
                <w:b/>
                <w:bCs/>
                <w:color w:val="000000"/>
                <w:kern w:val="0"/>
                <w:sz w:val="28"/>
                <w:szCs w:val="28"/>
                <w:lang w:eastAsia="en-IN"/>
                <w14:ligatures w14:val="none"/>
              </w:rPr>
            </w:pPr>
            <w:r w:rsidRPr="009A2AC6">
              <w:rPr>
                <w:rFonts w:ascii="Garamond" w:eastAsia="Times New Roman" w:hAnsi="Garamond" w:cs="Calibri"/>
                <w:b/>
                <w:bCs/>
                <w:color w:val="000000"/>
                <w:kern w:val="0"/>
                <w:sz w:val="28"/>
                <w:szCs w:val="28"/>
                <w:lang w:eastAsia="en-IN"/>
                <w14:ligatures w14:val="none"/>
              </w:rPr>
              <w:t>Basis</w:t>
            </w:r>
          </w:p>
        </w:tc>
        <w:tc>
          <w:tcPr>
            <w:tcW w:w="855" w:type="dxa"/>
            <w:shd w:val="clear" w:color="000000" w:fill="FFC000"/>
            <w:vAlign w:val="center"/>
            <w:hideMark/>
          </w:tcPr>
          <w:p w14:paraId="35B6FCEE" w14:textId="77777777" w:rsidR="009A2AC6" w:rsidRPr="009A2AC6" w:rsidRDefault="009A2AC6" w:rsidP="009A2AC6">
            <w:pPr>
              <w:spacing w:after="0" w:line="240" w:lineRule="auto"/>
              <w:jc w:val="center"/>
              <w:rPr>
                <w:rFonts w:ascii="Garamond" w:eastAsia="Times New Roman" w:hAnsi="Garamond" w:cs="Calibri"/>
                <w:b/>
                <w:bCs/>
                <w:color w:val="000000"/>
                <w:kern w:val="0"/>
                <w:sz w:val="28"/>
                <w:szCs w:val="28"/>
                <w:lang w:eastAsia="en-IN"/>
                <w14:ligatures w14:val="none"/>
              </w:rPr>
            </w:pPr>
            <w:r w:rsidRPr="009A2AC6">
              <w:rPr>
                <w:rFonts w:ascii="Garamond" w:eastAsia="Times New Roman" w:hAnsi="Garamond" w:cs="Calibri"/>
                <w:b/>
                <w:bCs/>
                <w:kern w:val="0"/>
                <w:sz w:val="28"/>
                <w:szCs w:val="28"/>
                <w:lang w:eastAsia="en-IN"/>
                <w14:ligatures w14:val="none"/>
              </w:rPr>
              <w:t xml:space="preserve">Time </w:t>
            </w:r>
          </w:p>
        </w:tc>
        <w:tc>
          <w:tcPr>
            <w:tcW w:w="1004" w:type="dxa"/>
            <w:shd w:val="clear" w:color="000000" w:fill="FFC000"/>
            <w:vAlign w:val="center"/>
            <w:hideMark/>
          </w:tcPr>
          <w:p w14:paraId="48120B5B" w14:textId="77777777" w:rsidR="009A2AC6" w:rsidRPr="009A2AC6" w:rsidRDefault="009A2AC6" w:rsidP="009A2AC6">
            <w:pPr>
              <w:spacing w:after="0" w:line="240" w:lineRule="auto"/>
              <w:jc w:val="center"/>
              <w:rPr>
                <w:rFonts w:ascii="Garamond" w:eastAsia="Times New Roman" w:hAnsi="Garamond" w:cs="Calibri"/>
                <w:b/>
                <w:bCs/>
                <w:color w:val="000000"/>
                <w:kern w:val="0"/>
                <w:sz w:val="28"/>
                <w:szCs w:val="28"/>
                <w:lang w:eastAsia="en-IN"/>
                <w14:ligatures w14:val="none"/>
              </w:rPr>
            </w:pPr>
            <w:r w:rsidRPr="009A2AC6">
              <w:rPr>
                <w:rFonts w:ascii="Garamond" w:eastAsia="Times New Roman" w:hAnsi="Garamond" w:cs="Calibri"/>
                <w:b/>
                <w:bCs/>
                <w:kern w:val="0"/>
                <w:sz w:val="28"/>
                <w:szCs w:val="28"/>
                <w:lang w:eastAsia="en-IN"/>
                <w14:ligatures w14:val="none"/>
              </w:rPr>
              <w:t>Total cost (INR)</w:t>
            </w:r>
          </w:p>
        </w:tc>
        <w:tc>
          <w:tcPr>
            <w:tcW w:w="1692" w:type="dxa"/>
            <w:shd w:val="clear" w:color="000000" w:fill="FFC000"/>
            <w:vAlign w:val="center"/>
            <w:hideMark/>
          </w:tcPr>
          <w:p w14:paraId="774A742D" w14:textId="77777777" w:rsidR="009A2AC6" w:rsidRPr="009A2AC6" w:rsidRDefault="009A2AC6" w:rsidP="009A2AC6">
            <w:pPr>
              <w:spacing w:after="0" w:line="240" w:lineRule="auto"/>
              <w:jc w:val="center"/>
              <w:rPr>
                <w:rFonts w:ascii="Garamond" w:eastAsia="Times New Roman" w:hAnsi="Garamond" w:cs="Calibri"/>
                <w:b/>
                <w:bCs/>
                <w:color w:val="000000"/>
                <w:kern w:val="0"/>
                <w:sz w:val="28"/>
                <w:szCs w:val="28"/>
                <w:lang w:eastAsia="en-IN"/>
                <w14:ligatures w14:val="none"/>
              </w:rPr>
            </w:pPr>
            <w:r w:rsidRPr="009A2AC6">
              <w:rPr>
                <w:rFonts w:ascii="Garamond" w:eastAsia="Times New Roman" w:hAnsi="Garamond" w:cs="Calibri"/>
                <w:b/>
                <w:bCs/>
                <w:kern w:val="0"/>
                <w:sz w:val="28"/>
                <w:szCs w:val="28"/>
                <w:lang w:eastAsia="en-IN"/>
                <w14:ligatures w14:val="none"/>
              </w:rPr>
              <w:t>Remark</w:t>
            </w:r>
          </w:p>
        </w:tc>
      </w:tr>
      <w:tr w:rsidR="009A2AC6" w:rsidRPr="009A2AC6" w14:paraId="30F6CFC7" w14:textId="77777777" w:rsidTr="009A2AC6">
        <w:trPr>
          <w:trHeight w:val="615"/>
        </w:trPr>
        <w:tc>
          <w:tcPr>
            <w:tcW w:w="957" w:type="dxa"/>
            <w:shd w:val="clear" w:color="000000" w:fill="FFFFFF"/>
            <w:vAlign w:val="center"/>
            <w:hideMark/>
          </w:tcPr>
          <w:p w14:paraId="0D0E07CD" w14:textId="77777777" w:rsidR="009A2AC6" w:rsidRPr="009A2AC6" w:rsidRDefault="009A2AC6" w:rsidP="009A2AC6">
            <w:pPr>
              <w:spacing w:after="0" w:line="240" w:lineRule="auto"/>
              <w:jc w:val="center"/>
              <w:rPr>
                <w:rFonts w:ascii="Garamond" w:eastAsia="Times New Roman" w:hAnsi="Garamond" w:cs="Calibri"/>
                <w:color w:val="000000"/>
                <w:kern w:val="0"/>
                <w:sz w:val="24"/>
                <w:szCs w:val="24"/>
                <w:lang w:eastAsia="en-IN"/>
                <w14:ligatures w14:val="none"/>
              </w:rPr>
            </w:pPr>
            <w:r w:rsidRPr="009A2AC6">
              <w:rPr>
                <w:rFonts w:ascii="Garamond" w:eastAsia="Times New Roman" w:hAnsi="Garamond" w:cs="Calibri"/>
                <w:color w:val="000000"/>
                <w:kern w:val="0"/>
                <w:sz w:val="24"/>
                <w:szCs w:val="24"/>
                <w:lang w:eastAsia="en-IN"/>
                <w14:ligatures w14:val="none"/>
              </w:rPr>
              <w:t>1</w:t>
            </w:r>
          </w:p>
        </w:tc>
        <w:tc>
          <w:tcPr>
            <w:tcW w:w="1869" w:type="dxa"/>
            <w:shd w:val="clear" w:color="000000" w:fill="FFFFFF"/>
            <w:vAlign w:val="center"/>
            <w:hideMark/>
          </w:tcPr>
          <w:p w14:paraId="6E4DF227" w14:textId="77777777" w:rsidR="009A2AC6" w:rsidRPr="009A2AC6" w:rsidRDefault="009A2AC6" w:rsidP="009A2AC6">
            <w:pPr>
              <w:spacing w:after="0" w:line="240" w:lineRule="auto"/>
              <w:jc w:val="center"/>
              <w:rPr>
                <w:rFonts w:ascii="Garamond" w:eastAsia="Times New Roman" w:hAnsi="Garamond" w:cs="Calibri"/>
                <w:color w:val="000000"/>
                <w:kern w:val="0"/>
                <w:sz w:val="24"/>
                <w:szCs w:val="24"/>
                <w:lang w:eastAsia="en-IN"/>
                <w14:ligatures w14:val="none"/>
              </w:rPr>
            </w:pPr>
            <w:r w:rsidRPr="009A2AC6">
              <w:rPr>
                <w:rFonts w:ascii="Garamond" w:eastAsia="Times New Roman" w:hAnsi="Garamond" w:cs="Calibri"/>
                <w:color w:val="000000"/>
                <w:kern w:val="0"/>
                <w:sz w:val="24"/>
                <w:szCs w:val="24"/>
                <w:lang w:eastAsia="en-IN"/>
                <w14:ligatures w14:val="none"/>
              </w:rPr>
              <w:t>Digital Education (Primary School)</w:t>
            </w:r>
          </w:p>
        </w:tc>
        <w:tc>
          <w:tcPr>
            <w:tcW w:w="1133" w:type="dxa"/>
            <w:shd w:val="clear" w:color="000000" w:fill="FFFFFF"/>
            <w:vAlign w:val="center"/>
            <w:hideMark/>
          </w:tcPr>
          <w:p w14:paraId="3F4FA23A" w14:textId="4E32204F" w:rsidR="009A2AC6" w:rsidRPr="009A2AC6" w:rsidRDefault="009A2AC6" w:rsidP="009A2AC6">
            <w:pPr>
              <w:spacing w:after="0" w:line="240" w:lineRule="auto"/>
              <w:jc w:val="center"/>
              <w:rPr>
                <w:rFonts w:ascii="Garamond" w:eastAsia="Times New Roman" w:hAnsi="Garamond" w:cs="Calibri"/>
                <w:color w:val="000000"/>
                <w:kern w:val="0"/>
                <w:sz w:val="24"/>
                <w:szCs w:val="24"/>
                <w:lang w:eastAsia="en-IN"/>
                <w14:ligatures w14:val="none"/>
              </w:rPr>
            </w:pPr>
            <w:r w:rsidRPr="009A2AC6">
              <w:rPr>
                <w:rFonts w:ascii="Garamond" w:eastAsia="Times New Roman" w:hAnsi="Garamond" w:cs="Calibri"/>
                <w:color w:val="000000"/>
                <w:kern w:val="0"/>
                <w:sz w:val="24"/>
                <w:szCs w:val="24"/>
                <w:lang w:eastAsia="en-IN"/>
                <w14:ligatures w14:val="none"/>
              </w:rPr>
              <w:t>2</w:t>
            </w:r>
            <w:r w:rsidR="00576F89">
              <w:rPr>
                <w:rFonts w:ascii="Garamond" w:eastAsia="Times New Roman" w:hAnsi="Garamond" w:cs="Calibri"/>
                <w:color w:val="000000"/>
                <w:kern w:val="0"/>
                <w:sz w:val="24"/>
                <w:szCs w:val="24"/>
                <w:lang w:eastAsia="en-IN"/>
                <w14:ligatures w14:val="none"/>
              </w:rPr>
              <w:t>0</w:t>
            </w:r>
            <w:r w:rsidRPr="009A2AC6">
              <w:rPr>
                <w:rFonts w:ascii="Garamond" w:eastAsia="Times New Roman" w:hAnsi="Garamond" w:cs="Calibri"/>
                <w:color w:val="000000"/>
                <w:kern w:val="0"/>
                <w:sz w:val="24"/>
                <w:szCs w:val="24"/>
                <w:lang w:eastAsia="en-IN"/>
                <w14:ligatures w14:val="none"/>
              </w:rPr>
              <w:t>0</w:t>
            </w:r>
          </w:p>
        </w:tc>
        <w:tc>
          <w:tcPr>
            <w:tcW w:w="992" w:type="dxa"/>
            <w:shd w:val="clear" w:color="000000" w:fill="FFFFFF"/>
            <w:vAlign w:val="center"/>
            <w:hideMark/>
          </w:tcPr>
          <w:p w14:paraId="6D0F5FD0" w14:textId="77777777" w:rsidR="009A2AC6" w:rsidRPr="009A2AC6" w:rsidRDefault="009A2AC6" w:rsidP="009A2AC6">
            <w:pPr>
              <w:spacing w:after="0" w:line="240" w:lineRule="auto"/>
              <w:jc w:val="center"/>
              <w:rPr>
                <w:rFonts w:ascii="Garamond" w:eastAsia="Times New Roman" w:hAnsi="Garamond" w:cs="Calibri"/>
                <w:color w:val="000000"/>
                <w:kern w:val="0"/>
                <w:sz w:val="24"/>
                <w:szCs w:val="24"/>
                <w:lang w:eastAsia="en-IN"/>
                <w14:ligatures w14:val="none"/>
              </w:rPr>
            </w:pPr>
            <w:r w:rsidRPr="009A2AC6">
              <w:rPr>
                <w:rFonts w:ascii="Garamond" w:eastAsia="Times New Roman" w:hAnsi="Garamond" w:cs="Calibri"/>
                <w:color w:val="000000"/>
                <w:kern w:val="0"/>
                <w:sz w:val="24"/>
                <w:szCs w:val="24"/>
                <w:lang w:eastAsia="en-IN"/>
                <w14:ligatures w14:val="none"/>
              </w:rPr>
              <w:t>12000</w:t>
            </w:r>
          </w:p>
        </w:tc>
        <w:tc>
          <w:tcPr>
            <w:tcW w:w="1274" w:type="dxa"/>
            <w:shd w:val="clear" w:color="000000" w:fill="FFFFFF"/>
            <w:vAlign w:val="center"/>
            <w:hideMark/>
          </w:tcPr>
          <w:p w14:paraId="01DB991D" w14:textId="77777777" w:rsidR="009A2AC6" w:rsidRPr="009A2AC6" w:rsidRDefault="009A2AC6" w:rsidP="009A2AC6">
            <w:pPr>
              <w:spacing w:after="0" w:line="240" w:lineRule="auto"/>
              <w:jc w:val="center"/>
              <w:rPr>
                <w:rFonts w:ascii="Garamond" w:eastAsia="Times New Roman" w:hAnsi="Garamond" w:cs="Calibri"/>
                <w:color w:val="000000"/>
                <w:kern w:val="0"/>
                <w:sz w:val="24"/>
                <w:szCs w:val="24"/>
                <w:lang w:eastAsia="en-IN"/>
                <w14:ligatures w14:val="none"/>
              </w:rPr>
            </w:pPr>
            <w:r w:rsidRPr="009A2AC6">
              <w:rPr>
                <w:rFonts w:ascii="Garamond" w:eastAsia="Times New Roman" w:hAnsi="Garamond" w:cs="Calibri"/>
                <w:color w:val="000000"/>
                <w:kern w:val="0"/>
                <w:sz w:val="24"/>
                <w:szCs w:val="24"/>
                <w:lang w:eastAsia="en-IN"/>
                <w14:ligatures w14:val="none"/>
              </w:rPr>
              <w:t>Per School Facilitator Cost</w:t>
            </w:r>
          </w:p>
        </w:tc>
        <w:tc>
          <w:tcPr>
            <w:tcW w:w="855" w:type="dxa"/>
            <w:shd w:val="clear" w:color="000000" w:fill="FFFFFF"/>
            <w:vAlign w:val="center"/>
            <w:hideMark/>
          </w:tcPr>
          <w:p w14:paraId="608DAC66" w14:textId="77777777" w:rsidR="009A2AC6" w:rsidRPr="009A2AC6" w:rsidRDefault="009A2AC6" w:rsidP="009A2AC6">
            <w:pPr>
              <w:spacing w:after="0" w:line="240" w:lineRule="auto"/>
              <w:jc w:val="center"/>
              <w:rPr>
                <w:rFonts w:ascii="Garamond" w:eastAsia="Times New Roman" w:hAnsi="Garamond" w:cs="Calibri"/>
                <w:color w:val="000000"/>
                <w:kern w:val="0"/>
                <w:sz w:val="24"/>
                <w:szCs w:val="24"/>
                <w:lang w:eastAsia="en-IN"/>
                <w14:ligatures w14:val="none"/>
              </w:rPr>
            </w:pPr>
            <w:r w:rsidRPr="009A2AC6">
              <w:rPr>
                <w:rFonts w:ascii="Garamond" w:eastAsia="Times New Roman" w:hAnsi="Garamond" w:cs="Calibri"/>
                <w:color w:val="000000"/>
                <w:kern w:val="0"/>
                <w:sz w:val="24"/>
                <w:szCs w:val="24"/>
                <w:lang w:eastAsia="en-IN"/>
                <w14:ligatures w14:val="none"/>
              </w:rPr>
              <w:t>1</w:t>
            </w:r>
          </w:p>
        </w:tc>
        <w:tc>
          <w:tcPr>
            <w:tcW w:w="1004" w:type="dxa"/>
            <w:shd w:val="clear" w:color="000000" w:fill="FFFFFF"/>
            <w:vAlign w:val="center"/>
            <w:hideMark/>
          </w:tcPr>
          <w:p w14:paraId="361BAE1C" w14:textId="6F4A6264" w:rsidR="009A2AC6" w:rsidRPr="009A2AC6" w:rsidRDefault="00576F89" w:rsidP="009A2AC6">
            <w:pPr>
              <w:spacing w:after="0" w:line="240" w:lineRule="auto"/>
              <w:jc w:val="center"/>
              <w:rPr>
                <w:rFonts w:ascii="Garamond" w:eastAsia="Times New Roman" w:hAnsi="Garamond" w:cs="Calibri"/>
                <w:color w:val="000000"/>
                <w:kern w:val="0"/>
                <w:sz w:val="24"/>
                <w:szCs w:val="24"/>
                <w:lang w:eastAsia="en-IN"/>
                <w14:ligatures w14:val="none"/>
              </w:rPr>
            </w:pPr>
            <w:r>
              <w:rPr>
                <w:rFonts w:ascii="Garamond" w:eastAsia="Times New Roman" w:hAnsi="Garamond" w:cs="Calibri"/>
                <w:color w:val="000000"/>
                <w:kern w:val="0"/>
                <w:sz w:val="24"/>
                <w:szCs w:val="24"/>
                <w:lang w:eastAsia="en-IN"/>
                <w14:ligatures w14:val="none"/>
              </w:rPr>
              <w:t>2400000</w:t>
            </w:r>
          </w:p>
        </w:tc>
        <w:tc>
          <w:tcPr>
            <w:tcW w:w="1692" w:type="dxa"/>
            <w:shd w:val="clear" w:color="000000" w:fill="FFFFFF"/>
            <w:vAlign w:val="center"/>
            <w:hideMark/>
          </w:tcPr>
          <w:p w14:paraId="5EF3259D" w14:textId="77777777" w:rsidR="009A2AC6" w:rsidRPr="009A2AC6" w:rsidRDefault="009A2AC6" w:rsidP="009A2AC6">
            <w:pPr>
              <w:spacing w:after="0" w:line="240" w:lineRule="auto"/>
              <w:jc w:val="center"/>
              <w:rPr>
                <w:rFonts w:ascii="Garamond" w:eastAsia="Times New Roman" w:hAnsi="Garamond" w:cs="Calibri"/>
                <w:b/>
                <w:bCs/>
                <w:color w:val="000000"/>
                <w:kern w:val="0"/>
                <w:sz w:val="24"/>
                <w:szCs w:val="24"/>
                <w:lang w:eastAsia="en-IN"/>
                <w14:ligatures w14:val="none"/>
              </w:rPr>
            </w:pPr>
            <w:r w:rsidRPr="009A2AC6">
              <w:rPr>
                <w:rFonts w:ascii="Garamond" w:eastAsia="Times New Roman" w:hAnsi="Garamond" w:cs="Calibri"/>
                <w:b/>
                <w:bCs/>
                <w:color w:val="000000"/>
                <w:kern w:val="0"/>
                <w:sz w:val="24"/>
                <w:szCs w:val="24"/>
                <w:lang w:eastAsia="en-IN"/>
                <w14:ligatures w14:val="none"/>
              </w:rPr>
              <w:t> </w:t>
            </w:r>
          </w:p>
        </w:tc>
      </w:tr>
      <w:tr w:rsidR="009A2AC6" w:rsidRPr="009A2AC6" w14:paraId="03D571BE" w14:textId="77777777" w:rsidTr="009A2AC6">
        <w:trPr>
          <w:trHeight w:val="615"/>
        </w:trPr>
        <w:tc>
          <w:tcPr>
            <w:tcW w:w="957" w:type="dxa"/>
            <w:shd w:val="clear" w:color="000000" w:fill="FFFFFF"/>
            <w:vAlign w:val="center"/>
            <w:hideMark/>
          </w:tcPr>
          <w:p w14:paraId="078DD3AC" w14:textId="77777777" w:rsidR="009A2AC6" w:rsidRPr="009A2AC6" w:rsidRDefault="009A2AC6" w:rsidP="009A2AC6">
            <w:pPr>
              <w:spacing w:after="0" w:line="240" w:lineRule="auto"/>
              <w:jc w:val="center"/>
              <w:rPr>
                <w:rFonts w:ascii="Garamond" w:eastAsia="Times New Roman" w:hAnsi="Garamond" w:cs="Calibri"/>
                <w:color w:val="000000"/>
                <w:kern w:val="0"/>
                <w:sz w:val="24"/>
                <w:szCs w:val="24"/>
                <w:lang w:eastAsia="en-IN"/>
                <w14:ligatures w14:val="none"/>
              </w:rPr>
            </w:pPr>
            <w:r w:rsidRPr="009A2AC6">
              <w:rPr>
                <w:rFonts w:ascii="Garamond" w:eastAsia="Times New Roman" w:hAnsi="Garamond" w:cs="Calibri"/>
                <w:color w:val="000000"/>
                <w:kern w:val="0"/>
                <w:sz w:val="24"/>
                <w:szCs w:val="24"/>
                <w:lang w:eastAsia="en-IN"/>
                <w14:ligatures w14:val="none"/>
              </w:rPr>
              <w:t>2</w:t>
            </w:r>
          </w:p>
        </w:tc>
        <w:tc>
          <w:tcPr>
            <w:tcW w:w="1869" w:type="dxa"/>
            <w:shd w:val="clear" w:color="000000" w:fill="FFFFFF"/>
            <w:vAlign w:val="center"/>
            <w:hideMark/>
          </w:tcPr>
          <w:p w14:paraId="66FE20CF" w14:textId="77777777" w:rsidR="009A2AC6" w:rsidRPr="009A2AC6" w:rsidRDefault="009A2AC6" w:rsidP="009A2AC6">
            <w:pPr>
              <w:spacing w:after="0" w:line="240" w:lineRule="auto"/>
              <w:jc w:val="center"/>
              <w:rPr>
                <w:rFonts w:ascii="Garamond" w:eastAsia="Times New Roman" w:hAnsi="Garamond" w:cs="Calibri"/>
                <w:color w:val="000000"/>
                <w:kern w:val="0"/>
                <w:sz w:val="24"/>
                <w:szCs w:val="24"/>
                <w:lang w:eastAsia="en-IN"/>
                <w14:ligatures w14:val="none"/>
              </w:rPr>
            </w:pPr>
            <w:r w:rsidRPr="009A2AC6">
              <w:rPr>
                <w:rFonts w:ascii="Garamond" w:eastAsia="Times New Roman" w:hAnsi="Garamond" w:cs="Calibri"/>
                <w:color w:val="000000"/>
                <w:kern w:val="0"/>
                <w:sz w:val="24"/>
                <w:szCs w:val="24"/>
                <w:lang w:eastAsia="en-IN"/>
                <w14:ligatures w14:val="none"/>
              </w:rPr>
              <w:t>Digital Education (Middle/High School)</w:t>
            </w:r>
          </w:p>
        </w:tc>
        <w:tc>
          <w:tcPr>
            <w:tcW w:w="1133" w:type="dxa"/>
            <w:shd w:val="clear" w:color="000000" w:fill="FFFFFF"/>
            <w:vAlign w:val="center"/>
            <w:hideMark/>
          </w:tcPr>
          <w:p w14:paraId="3E3D8F4C" w14:textId="28A36D5D" w:rsidR="009A2AC6" w:rsidRPr="009A2AC6" w:rsidRDefault="00576F89" w:rsidP="009A2AC6">
            <w:pPr>
              <w:spacing w:after="0" w:line="240" w:lineRule="auto"/>
              <w:jc w:val="center"/>
              <w:rPr>
                <w:rFonts w:ascii="Garamond" w:eastAsia="Times New Roman" w:hAnsi="Garamond" w:cs="Calibri"/>
                <w:color w:val="000000"/>
                <w:kern w:val="0"/>
                <w:sz w:val="24"/>
                <w:szCs w:val="24"/>
                <w:lang w:eastAsia="en-IN"/>
                <w14:ligatures w14:val="none"/>
              </w:rPr>
            </w:pPr>
            <w:r>
              <w:rPr>
                <w:rFonts w:ascii="Garamond" w:eastAsia="Times New Roman" w:hAnsi="Garamond" w:cs="Calibri"/>
                <w:color w:val="000000"/>
                <w:kern w:val="0"/>
                <w:sz w:val="24"/>
                <w:szCs w:val="24"/>
                <w:lang w:eastAsia="en-IN"/>
                <w14:ligatures w14:val="none"/>
              </w:rPr>
              <w:t>25</w:t>
            </w:r>
          </w:p>
        </w:tc>
        <w:tc>
          <w:tcPr>
            <w:tcW w:w="992" w:type="dxa"/>
            <w:shd w:val="clear" w:color="000000" w:fill="FFFFFF"/>
            <w:vAlign w:val="center"/>
            <w:hideMark/>
          </w:tcPr>
          <w:p w14:paraId="5AAF383D" w14:textId="77777777" w:rsidR="009A2AC6" w:rsidRPr="009A2AC6" w:rsidRDefault="009A2AC6" w:rsidP="009A2AC6">
            <w:pPr>
              <w:spacing w:after="0" w:line="240" w:lineRule="auto"/>
              <w:jc w:val="center"/>
              <w:rPr>
                <w:rFonts w:ascii="Garamond" w:eastAsia="Times New Roman" w:hAnsi="Garamond" w:cs="Calibri"/>
                <w:color w:val="000000"/>
                <w:kern w:val="0"/>
                <w:sz w:val="24"/>
                <w:szCs w:val="24"/>
                <w:lang w:eastAsia="en-IN"/>
                <w14:ligatures w14:val="none"/>
              </w:rPr>
            </w:pPr>
            <w:r w:rsidRPr="009A2AC6">
              <w:rPr>
                <w:rFonts w:ascii="Garamond" w:eastAsia="Times New Roman" w:hAnsi="Garamond" w:cs="Calibri"/>
                <w:color w:val="000000"/>
                <w:kern w:val="0"/>
                <w:sz w:val="24"/>
                <w:szCs w:val="24"/>
                <w:lang w:eastAsia="en-IN"/>
                <w14:ligatures w14:val="none"/>
              </w:rPr>
              <w:t>12000</w:t>
            </w:r>
          </w:p>
        </w:tc>
        <w:tc>
          <w:tcPr>
            <w:tcW w:w="1274" w:type="dxa"/>
            <w:shd w:val="clear" w:color="000000" w:fill="FFFFFF"/>
            <w:vAlign w:val="center"/>
            <w:hideMark/>
          </w:tcPr>
          <w:p w14:paraId="0F0D7001" w14:textId="77777777" w:rsidR="009A2AC6" w:rsidRPr="009A2AC6" w:rsidRDefault="009A2AC6" w:rsidP="009A2AC6">
            <w:pPr>
              <w:spacing w:after="0" w:line="240" w:lineRule="auto"/>
              <w:jc w:val="center"/>
              <w:rPr>
                <w:rFonts w:ascii="Garamond" w:eastAsia="Times New Roman" w:hAnsi="Garamond" w:cs="Calibri"/>
                <w:color w:val="000000"/>
                <w:kern w:val="0"/>
                <w:sz w:val="24"/>
                <w:szCs w:val="24"/>
                <w:lang w:eastAsia="en-IN"/>
                <w14:ligatures w14:val="none"/>
              </w:rPr>
            </w:pPr>
            <w:r w:rsidRPr="009A2AC6">
              <w:rPr>
                <w:rFonts w:ascii="Garamond" w:eastAsia="Times New Roman" w:hAnsi="Garamond" w:cs="Calibri"/>
                <w:color w:val="000000"/>
                <w:kern w:val="0"/>
                <w:sz w:val="24"/>
                <w:szCs w:val="24"/>
                <w:lang w:eastAsia="en-IN"/>
                <w14:ligatures w14:val="none"/>
              </w:rPr>
              <w:t>Per School Facilitator Cost</w:t>
            </w:r>
          </w:p>
        </w:tc>
        <w:tc>
          <w:tcPr>
            <w:tcW w:w="855" w:type="dxa"/>
            <w:shd w:val="clear" w:color="000000" w:fill="FFFFFF"/>
            <w:vAlign w:val="center"/>
            <w:hideMark/>
          </w:tcPr>
          <w:p w14:paraId="118E82CD" w14:textId="77777777" w:rsidR="009A2AC6" w:rsidRPr="009A2AC6" w:rsidRDefault="009A2AC6" w:rsidP="009A2AC6">
            <w:pPr>
              <w:spacing w:after="0" w:line="240" w:lineRule="auto"/>
              <w:jc w:val="center"/>
              <w:rPr>
                <w:rFonts w:ascii="Garamond" w:eastAsia="Times New Roman" w:hAnsi="Garamond" w:cs="Calibri"/>
                <w:color w:val="000000"/>
                <w:kern w:val="0"/>
                <w:sz w:val="24"/>
                <w:szCs w:val="24"/>
                <w:lang w:eastAsia="en-IN"/>
                <w14:ligatures w14:val="none"/>
              </w:rPr>
            </w:pPr>
            <w:r w:rsidRPr="009A2AC6">
              <w:rPr>
                <w:rFonts w:ascii="Garamond" w:eastAsia="Times New Roman" w:hAnsi="Garamond" w:cs="Calibri"/>
                <w:color w:val="000000"/>
                <w:kern w:val="0"/>
                <w:sz w:val="24"/>
                <w:szCs w:val="24"/>
                <w:lang w:eastAsia="en-IN"/>
                <w14:ligatures w14:val="none"/>
              </w:rPr>
              <w:t>1</w:t>
            </w:r>
          </w:p>
        </w:tc>
        <w:tc>
          <w:tcPr>
            <w:tcW w:w="1004" w:type="dxa"/>
            <w:shd w:val="clear" w:color="000000" w:fill="FFFFFF"/>
            <w:vAlign w:val="center"/>
            <w:hideMark/>
          </w:tcPr>
          <w:p w14:paraId="233C9AF0" w14:textId="61DCC722" w:rsidR="009A2AC6" w:rsidRPr="009A2AC6" w:rsidRDefault="00576F89" w:rsidP="009A2AC6">
            <w:pPr>
              <w:spacing w:after="0" w:line="240" w:lineRule="auto"/>
              <w:jc w:val="center"/>
              <w:rPr>
                <w:rFonts w:ascii="Garamond" w:eastAsia="Times New Roman" w:hAnsi="Garamond" w:cs="Calibri"/>
                <w:color w:val="000000"/>
                <w:kern w:val="0"/>
                <w:sz w:val="24"/>
                <w:szCs w:val="24"/>
                <w:lang w:eastAsia="en-IN"/>
                <w14:ligatures w14:val="none"/>
              </w:rPr>
            </w:pPr>
            <w:r>
              <w:rPr>
                <w:rFonts w:ascii="Garamond" w:eastAsia="Times New Roman" w:hAnsi="Garamond" w:cs="Calibri"/>
                <w:color w:val="000000"/>
                <w:kern w:val="0"/>
                <w:sz w:val="24"/>
                <w:szCs w:val="24"/>
                <w:lang w:eastAsia="en-IN"/>
                <w14:ligatures w14:val="none"/>
              </w:rPr>
              <w:t>300000</w:t>
            </w:r>
          </w:p>
        </w:tc>
        <w:tc>
          <w:tcPr>
            <w:tcW w:w="1692" w:type="dxa"/>
            <w:shd w:val="clear" w:color="000000" w:fill="FFFFFF"/>
            <w:vAlign w:val="center"/>
            <w:hideMark/>
          </w:tcPr>
          <w:p w14:paraId="67109FF5" w14:textId="77777777" w:rsidR="009A2AC6" w:rsidRPr="009A2AC6" w:rsidRDefault="009A2AC6" w:rsidP="009A2AC6">
            <w:pPr>
              <w:spacing w:after="0" w:line="240" w:lineRule="auto"/>
              <w:jc w:val="center"/>
              <w:rPr>
                <w:rFonts w:ascii="Garamond" w:eastAsia="Times New Roman" w:hAnsi="Garamond" w:cs="Calibri"/>
                <w:b/>
                <w:bCs/>
                <w:color w:val="000000"/>
                <w:kern w:val="0"/>
                <w:sz w:val="24"/>
                <w:szCs w:val="24"/>
                <w:lang w:eastAsia="en-IN"/>
                <w14:ligatures w14:val="none"/>
              </w:rPr>
            </w:pPr>
            <w:r w:rsidRPr="009A2AC6">
              <w:rPr>
                <w:rFonts w:ascii="Garamond" w:eastAsia="Times New Roman" w:hAnsi="Garamond" w:cs="Calibri"/>
                <w:b/>
                <w:bCs/>
                <w:color w:val="000000"/>
                <w:kern w:val="0"/>
                <w:sz w:val="24"/>
                <w:szCs w:val="24"/>
                <w:lang w:eastAsia="en-IN"/>
                <w14:ligatures w14:val="none"/>
              </w:rPr>
              <w:t> </w:t>
            </w:r>
          </w:p>
        </w:tc>
      </w:tr>
      <w:tr w:rsidR="009A2AC6" w:rsidRPr="009A2AC6" w14:paraId="370D0E98" w14:textId="77777777" w:rsidTr="009A2AC6">
        <w:trPr>
          <w:trHeight w:val="615"/>
        </w:trPr>
        <w:tc>
          <w:tcPr>
            <w:tcW w:w="957" w:type="dxa"/>
            <w:shd w:val="clear" w:color="000000" w:fill="FFFFFF"/>
            <w:vAlign w:val="center"/>
            <w:hideMark/>
          </w:tcPr>
          <w:p w14:paraId="7A7B72F0" w14:textId="77777777" w:rsidR="009A2AC6" w:rsidRPr="009A2AC6" w:rsidRDefault="009A2AC6" w:rsidP="009A2AC6">
            <w:pPr>
              <w:spacing w:after="0" w:line="240" w:lineRule="auto"/>
              <w:jc w:val="center"/>
              <w:rPr>
                <w:rFonts w:ascii="Garamond" w:eastAsia="Times New Roman" w:hAnsi="Garamond" w:cs="Calibri"/>
                <w:color w:val="000000"/>
                <w:kern w:val="0"/>
                <w:sz w:val="24"/>
                <w:szCs w:val="24"/>
                <w:lang w:eastAsia="en-IN"/>
                <w14:ligatures w14:val="none"/>
              </w:rPr>
            </w:pPr>
            <w:r w:rsidRPr="009A2AC6">
              <w:rPr>
                <w:rFonts w:ascii="Garamond" w:eastAsia="Times New Roman" w:hAnsi="Garamond" w:cs="Calibri"/>
                <w:color w:val="000000"/>
                <w:kern w:val="0"/>
                <w:sz w:val="24"/>
                <w:szCs w:val="24"/>
                <w:lang w:eastAsia="en-IN"/>
                <w14:ligatures w14:val="none"/>
              </w:rPr>
              <w:t>4</w:t>
            </w:r>
          </w:p>
        </w:tc>
        <w:tc>
          <w:tcPr>
            <w:tcW w:w="1869" w:type="dxa"/>
            <w:shd w:val="clear" w:color="000000" w:fill="FFFFFF"/>
            <w:vAlign w:val="center"/>
            <w:hideMark/>
          </w:tcPr>
          <w:p w14:paraId="6CF56462" w14:textId="77777777" w:rsidR="009A2AC6" w:rsidRPr="009A2AC6" w:rsidRDefault="009A2AC6" w:rsidP="009A2AC6">
            <w:pPr>
              <w:spacing w:after="0" w:line="240" w:lineRule="auto"/>
              <w:jc w:val="center"/>
              <w:rPr>
                <w:rFonts w:ascii="Garamond" w:eastAsia="Times New Roman" w:hAnsi="Garamond" w:cs="Calibri"/>
                <w:color w:val="000000"/>
                <w:kern w:val="0"/>
                <w:sz w:val="24"/>
                <w:szCs w:val="24"/>
                <w:lang w:eastAsia="en-IN"/>
                <w14:ligatures w14:val="none"/>
              </w:rPr>
            </w:pPr>
            <w:r w:rsidRPr="009A2AC6">
              <w:rPr>
                <w:rFonts w:ascii="Garamond" w:eastAsia="Times New Roman" w:hAnsi="Garamond" w:cs="Calibri"/>
                <w:color w:val="000000"/>
                <w:kern w:val="0"/>
                <w:sz w:val="24"/>
                <w:szCs w:val="24"/>
                <w:lang w:eastAsia="en-IN"/>
                <w14:ligatures w14:val="none"/>
              </w:rPr>
              <w:t>Procurement of LEDs/Projects</w:t>
            </w:r>
          </w:p>
        </w:tc>
        <w:tc>
          <w:tcPr>
            <w:tcW w:w="1133" w:type="dxa"/>
            <w:shd w:val="clear" w:color="000000" w:fill="FFFFFF"/>
            <w:vAlign w:val="center"/>
            <w:hideMark/>
          </w:tcPr>
          <w:p w14:paraId="1D1905E8" w14:textId="77777777" w:rsidR="009A2AC6" w:rsidRPr="009A2AC6" w:rsidRDefault="009A2AC6" w:rsidP="009A2AC6">
            <w:pPr>
              <w:spacing w:after="0" w:line="240" w:lineRule="auto"/>
              <w:jc w:val="center"/>
              <w:rPr>
                <w:rFonts w:ascii="Garamond" w:eastAsia="Times New Roman" w:hAnsi="Garamond" w:cs="Calibri"/>
                <w:color w:val="000000"/>
                <w:kern w:val="0"/>
                <w:sz w:val="24"/>
                <w:szCs w:val="24"/>
                <w:lang w:eastAsia="en-IN"/>
                <w14:ligatures w14:val="none"/>
              </w:rPr>
            </w:pPr>
            <w:r w:rsidRPr="009A2AC6">
              <w:rPr>
                <w:rFonts w:ascii="Garamond" w:eastAsia="Times New Roman" w:hAnsi="Garamond" w:cs="Calibri"/>
                <w:color w:val="000000"/>
                <w:kern w:val="0"/>
                <w:sz w:val="24"/>
                <w:szCs w:val="24"/>
                <w:lang w:eastAsia="en-IN"/>
                <w14:ligatures w14:val="none"/>
              </w:rPr>
              <w:t>50</w:t>
            </w:r>
          </w:p>
        </w:tc>
        <w:tc>
          <w:tcPr>
            <w:tcW w:w="992" w:type="dxa"/>
            <w:shd w:val="clear" w:color="000000" w:fill="FFFFFF"/>
            <w:vAlign w:val="center"/>
            <w:hideMark/>
          </w:tcPr>
          <w:p w14:paraId="640443F6" w14:textId="77777777" w:rsidR="009A2AC6" w:rsidRPr="009A2AC6" w:rsidRDefault="009A2AC6" w:rsidP="009A2AC6">
            <w:pPr>
              <w:spacing w:after="0" w:line="240" w:lineRule="auto"/>
              <w:jc w:val="center"/>
              <w:rPr>
                <w:rFonts w:ascii="Garamond" w:eastAsia="Times New Roman" w:hAnsi="Garamond" w:cs="Calibri"/>
                <w:color w:val="000000"/>
                <w:kern w:val="0"/>
                <w:sz w:val="24"/>
                <w:szCs w:val="24"/>
                <w:lang w:eastAsia="en-IN"/>
                <w14:ligatures w14:val="none"/>
              </w:rPr>
            </w:pPr>
            <w:r w:rsidRPr="009A2AC6">
              <w:rPr>
                <w:rFonts w:ascii="Garamond" w:eastAsia="Times New Roman" w:hAnsi="Garamond" w:cs="Calibri"/>
                <w:color w:val="000000"/>
                <w:kern w:val="0"/>
                <w:sz w:val="24"/>
                <w:szCs w:val="24"/>
                <w:lang w:eastAsia="en-IN"/>
                <w14:ligatures w14:val="none"/>
              </w:rPr>
              <w:t>10000</w:t>
            </w:r>
          </w:p>
        </w:tc>
        <w:tc>
          <w:tcPr>
            <w:tcW w:w="1274" w:type="dxa"/>
            <w:shd w:val="clear" w:color="000000" w:fill="FFFFFF"/>
            <w:vAlign w:val="center"/>
            <w:hideMark/>
          </w:tcPr>
          <w:p w14:paraId="12B0146E" w14:textId="77777777" w:rsidR="009A2AC6" w:rsidRPr="009A2AC6" w:rsidRDefault="009A2AC6" w:rsidP="009A2AC6">
            <w:pPr>
              <w:spacing w:after="0" w:line="240" w:lineRule="auto"/>
              <w:jc w:val="center"/>
              <w:rPr>
                <w:rFonts w:ascii="Garamond" w:eastAsia="Times New Roman" w:hAnsi="Garamond" w:cs="Calibri"/>
                <w:color w:val="000000"/>
                <w:kern w:val="0"/>
                <w:sz w:val="24"/>
                <w:szCs w:val="24"/>
                <w:lang w:eastAsia="en-IN"/>
                <w14:ligatures w14:val="none"/>
              </w:rPr>
            </w:pPr>
            <w:r w:rsidRPr="009A2AC6">
              <w:rPr>
                <w:rFonts w:ascii="Garamond" w:eastAsia="Times New Roman" w:hAnsi="Garamond" w:cs="Calibri"/>
                <w:color w:val="000000"/>
                <w:kern w:val="0"/>
                <w:sz w:val="24"/>
                <w:szCs w:val="24"/>
                <w:lang w:eastAsia="en-IN"/>
                <w14:ligatures w14:val="none"/>
              </w:rPr>
              <w:t> </w:t>
            </w:r>
          </w:p>
        </w:tc>
        <w:tc>
          <w:tcPr>
            <w:tcW w:w="855" w:type="dxa"/>
            <w:shd w:val="clear" w:color="000000" w:fill="FFFFFF"/>
            <w:vAlign w:val="center"/>
            <w:hideMark/>
          </w:tcPr>
          <w:p w14:paraId="080C6E32" w14:textId="77777777" w:rsidR="009A2AC6" w:rsidRPr="009A2AC6" w:rsidRDefault="009A2AC6" w:rsidP="009A2AC6">
            <w:pPr>
              <w:spacing w:after="0" w:line="240" w:lineRule="auto"/>
              <w:jc w:val="center"/>
              <w:rPr>
                <w:rFonts w:ascii="Garamond" w:eastAsia="Times New Roman" w:hAnsi="Garamond" w:cs="Calibri"/>
                <w:color w:val="000000"/>
                <w:kern w:val="0"/>
                <w:sz w:val="24"/>
                <w:szCs w:val="24"/>
                <w:lang w:eastAsia="en-IN"/>
                <w14:ligatures w14:val="none"/>
              </w:rPr>
            </w:pPr>
            <w:r w:rsidRPr="009A2AC6">
              <w:rPr>
                <w:rFonts w:ascii="Garamond" w:eastAsia="Times New Roman" w:hAnsi="Garamond" w:cs="Calibri"/>
                <w:color w:val="000000"/>
                <w:kern w:val="0"/>
                <w:sz w:val="24"/>
                <w:szCs w:val="24"/>
                <w:lang w:eastAsia="en-IN"/>
                <w14:ligatures w14:val="none"/>
              </w:rPr>
              <w:t>1</w:t>
            </w:r>
          </w:p>
        </w:tc>
        <w:tc>
          <w:tcPr>
            <w:tcW w:w="1004" w:type="dxa"/>
            <w:shd w:val="clear" w:color="000000" w:fill="FFFFFF"/>
            <w:vAlign w:val="center"/>
            <w:hideMark/>
          </w:tcPr>
          <w:p w14:paraId="5FEC2A69" w14:textId="77777777" w:rsidR="009A2AC6" w:rsidRPr="009A2AC6" w:rsidRDefault="009A2AC6" w:rsidP="009A2AC6">
            <w:pPr>
              <w:spacing w:after="0" w:line="240" w:lineRule="auto"/>
              <w:jc w:val="center"/>
              <w:rPr>
                <w:rFonts w:ascii="Garamond" w:eastAsia="Times New Roman" w:hAnsi="Garamond" w:cs="Calibri"/>
                <w:color w:val="000000"/>
                <w:kern w:val="0"/>
                <w:sz w:val="24"/>
                <w:szCs w:val="24"/>
                <w:lang w:eastAsia="en-IN"/>
                <w14:ligatures w14:val="none"/>
              </w:rPr>
            </w:pPr>
            <w:r w:rsidRPr="009A2AC6">
              <w:rPr>
                <w:rFonts w:ascii="Garamond" w:eastAsia="Times New Roman" w:hAnsi="Garamond" w:cs="Calibri"/>
                <w:color w:val="000000"/>
                <w:kern w:val="0"/>
                <w:sz w:val="24"/>
                <w:szCs w:val="24"/>
                <w:lang w:eastAsia="en-IN"/>
                <w14:ligatures w14:val="none"/>
              </w:rPr>
              <w:t>500000</w:t>
            </w:r>
          </w:p>
        </w:tc>
        <w:tc>
          <w:tcPr>
            <w:tcW w:w="1692" w:type="dxa"/>
            <w:shd w:val="clear" w:color="000000" w:fill="FFFFFF"/>
            <w:vAlign w:val="center"/>
            <w:hideMark/>
          </w:tcPr>
          <w:p w14:paraId="0223EB78" w14:textId="77777777" w:rsidR="009A2AC6" w:rsidRPr="009A2AC6" w:rsidRDefault="009A2AC6" w:rsidP="009A2AC6">
            <w:pPr>
              <w:spacing w:after="0" w:line="240" w:lineRule="auto"/>
              <w:jc w:val="center"/>
              <w:rPr>
                <w:rFonts w:ascii="Garamond" w:eastAsia="Times New Roman" w:hAnsi="Garamond" w:cs="Calibri"/>
                <w:b/>
                <w:bCs/>
                <w:color w:val="000000"/>
                <w:kern w:val="0"/>
                <w:sz w:val="24"/>
                <w:szCs w:val="24"/>
                <w:lang w:eastAsia="en-IN"/>
                <w14:ligatures w14:val="none"/>
              </w:rPr>
            </w:pPr>
            <w:r w:rsidRPr="009A2AC6">
              <w:rPr>
                <w:rFonts w:ascii="Garamond" w:eastAsia="Times New Roman" w:hAnsi="Garamond" w:cs="Calibri"/>
                <w:b/>
                <w:bCs/>
                <w:color w:val="000000"/>
                <w:kern w:val="0"/>
                <w:sz w:val="24"/>
                <w:szCs w:val="24"/>
                <w:lang w:eastAsia="en-IN"/>
                <w14:ligatures w14:val="none"/>
              </w:rPr>
              <w:t> </w:t>
            </w:r>
          </w:p>
        </w:tc>
      </w:tr>
      <w:tr w:rsidR="009A2AC6" w:rsidRPr="009A2AC6" w14:paraId="2C904058" w14:textId="77777777" w:rsidTr="009A2AC6">
        <w:trPr>
          <w:trHeight w:val="315"/>
        </w:trPr>
        <w:tc>
          <w:tcPr>
            <w:tcW w:w="7080" w:type="dxa"/>
            <w:gridSpan w:val="6"/>
            <w:vMerge w:val="restart"/>
            <w:vAlign w:val="center"/>
            <w:hideMark/>
          </w:tcPr>
          <w:p w14:paraId="3E742278" w14:textId="77777777" w:rsidR="009A2AC6" w:rsidRPr="009A2AC6" w:rsidRDefault="009A2AC6" w:rsidP="009A2AC6">
            <w:pPr>
              <w:spacing w:after="0" w:line="240" w:lineRule="auto"/>
              <w:rPr>
                <w:rFonts w:ascii="Garamond" w:eastAsia="Times New Roman" w:hAnsi="Garamond" w:cs="Calibri"/>
                <w:b/>
                <w:bCs/>
                <w:color w:val="000000"/>
                <w:kern w:val="0"/>
                <w:sz w:val="24"/>
                <w:szCs w:val="24"/>
                <w:lang w:eastAsia="en-IN"/>
                <w14:ligatures w14:val="none"/>
              </w:rPr>
            </w:pPr>
            <w:r w:rsidRPr="009A2AC6">
              <w:rPr>
                <w:rFonts w:ascii="Garamond" w:eastAsia="Times New Roman" w:hAnsi="Garamond" w:cs="Calibri"/>
                <w:b/>
                <w:bCs/>
                <w:color w:val="000000"/>
                <w:kern w:val="0"/>
                <w:sz w:val="24"/>
                <w:szCs w:val="24"/>
                <w:lang w:eastAsia="en-IN"/>
                <w14:ligatures w14:val="none"/>
              </w:rPr>
              <w:t xml:space="preserve">Total budget required </w:t>
            </w:r>
          </w:p>
        </w:tc>
        <w:tc>
          <w:tcPr>
            <w:tcW w:w="1004" w:type="dxa"/>
            <w:vAlign w:val="center"/>
            <w:hideMark/>
          </w:tcPr>
          <w:p w14:paraId="085B3355" w14:textId="34BAFC81" w:rsidR="009A2AC6" w:rsidRPr="009A2AC6" w:rsidRDefault="00576F89" w:rsidP="009A2AC6">
            <w:pPr>
              <w:spacing w:after="0" w:line="240" w:lineRule="auto"/>
              <w:jc w:val="center"/>
              <w:rPr>
                <w:rFonts w:ascii="Garamond" w:eastAsia="Times New Roman" w:hAnsi="Garamond" w:cs="Calibri"/>
                <w:color w:val="000000"/>
                <w:kern w:val="0"/>
                <w:sz w:val="24"/>
                <w:szCs w:val="24"/>
                <w:lang w:eastAsia="en-IN"/>
                <w14:ligatures w14:val="none"/>
              </w:rPr>
            </w:pPr>
            <w:r>
              <w:rPr>
                <w:rFonts w:ascii="Garamond" w:eastAsia="Times New Roman" w:hAnsi="Garamond" w:cs="Calibri"/>
                <w:color w:val="000000"/>
                <w:kern w:val="0"/>
                <w:sz w:val="24"/>
                <w:szCs w:val="24"/>
                <w:lang w:eastAsia="en-IN"/>
                <w14:ligatures w14:val="none"/>
              </w:rPr>
              <w:t>3200000</w:t>
            </w:r>
          </w:p>
        </w:tc>
        <w:tc>
          <w:tcPr>
            <w:tcW w:w="1692" w:type="dxa"/>
            <w:vMerge w:val="restart"/>
            <w:vAlign w:val="center"/>
            <w:hideMark/>
          </w:tcPr>
          <w:p w14:paraId="2DCD0046" w14:textId="77777777" w:rsidR="009A2AC6" w:rsidRPr="009A2AC6" w:rsidRDefault="009A2AC6" w:rsidP="009A2AC6">
            <w:pPr>
              <w:spacing w:after="0" w:line="240" w:lineRule="auto"/>
              <w:rPr>
                <w:rFonts w:ascii="Garamond" w:eastAsia="Times New Roman" w:hAnsi="Garamond" w:cs="Calibri"/>
                <w:b/>
                <w:bCs/>
                <w:color w:val="000000"/>
                <w:kern w:val="0"/>
                <w:sz w:val="24"/>
                <w:szCs w:val="24"/>
                <w:lang w:eastAsia="en-IN"/>
                <w14:ligatures w14:val="none"/>
              </w:rPr>
            </w:pPr>
            <w:r w:rsidRPr="009A2AC6">
              <w:rPr>
                <w:rFonts w:ascii="Garamond" w:eastAsia="Times New Roman" w:hAnsi="Garamond" w:cs="Calibri"/>
                <w:b/>
                <w:bCs/>
                <w:color w:val="000000"/>
                <w:kern w:val="0"/>
                <w:sz w:val="24"/>
                <w:szCs w:val="24"/>
                <w:lang w:eastAsia="en-IN"/>
                <w14:ligatures w14:val="none"/>
              </w:rPr>
              <w:t> </w:t>
            </w:r>
          </w:p>
        </w:tc>
      </w:tr>
      <w:tr w:rsidR="009A2AC6" w:rsidRPr="009A2AC6" w14:paraId="2C26E21E" w14:textId="77777777" w:rsidTr="009A2AC6">
        <w:trPr>
          <w:trHeight w:val="330"/>
        </w:trPr>
        <w:tc>
          <w:tcPr>
            <w:tcW w:w="7080" w:type="dxa"/>
            <w:gridSpan w:val="6"/>
            <w:vMerge/>
            <w:vAlign w:val="center"/>
            <w:hideMark/>
          </w:tcPr>
          <w:p w14:paraId="35012B50" w14:textId="77777777" w:rsidR="009A2AC6" w:rsidRPr="009A2AC6" w:rsidRDefault="009A2AC6" w:rsidP="009A2AC6">
            <w:pPr>
              <w:spacing w:after="0" w:line="240" w:lineRule="auto"/>
              <w:rPr>
                <w:rFonts w:ascii="Garamond" w:eastAsia="Times New Roman" w:hAnsi="Garamond" w:cs="Calibri"/>
                <w:b/>
                <w:bCs/>
                <w:color w:val="000000"/>
                <w:kern w:val="0"/>
                <w:sz w:val="24"/>
                <w:szCs w:val="24"/>
                <w:lang w:eastAsia="en-IN"/>
                <w14:ligatures w14:val="none"/>
              </w:rPr>
            </w:pPr>
          </w:p>
        </w:tc>
        <w:tc>
          <w:tcPr>
            <w:tcW w:w="1004" w:type="dxa"/>
            <w:vAlign w:val="center"/>
            <w:hideMark/>
          </w:tcPr>
          <w:p w14:paraId="08E77083" w14:textId="77777777" w:rsidR="009A2AC6" w:rsidRPr="009A2AC6" w:rsidRDefault="009A2AC6" w:rsidP="009A2AC6">
            <w:pPr>
              <w:spacing w:after="0" w:line="240" w:lineRule="auto"/>
              <w:rPr>
                <w:rFonts w:ascii="Garamond" w:eastAsia="Times New Roman" w:hAnsi="Garamond" w:cs="Calibri"/>
                <w:b/>
                <w:bCs/>
                <w:color w:val="000000"/>
                <w:kern w:val="0"/>
                <w:sz w:val="24"/>
                <w:szCs w:val="24"/>
                <w:lang w:eastAsia="en-IN"/>
                <w14:ligatures w14:val="none"/>
              </w:rPr>
            </w:pPr>
            <w:r w:rsidRPr="009A2AC6">
              <w:rPr>
                <w:rFonts w:ascii="Garamond" w:eastAsia="Times New Roman" w:hAnsi="Garamond" w:cs="Calibri"/>
                <w:b/>
                <w:bCs/>
                <w:color w:val="000000"/>
                <w:kern w:val="0"/>
                <w:sz w:val="24"/>
                <w:szCs w:val="24"/>
                <w:lang w:eastAsia="en-IN"/>
                <w14:ligatures w14:val="none"/>
              </w:rPr>
              <w:t xml:space="preserve">(INR) </w:t>
            </w:r>
          </w:p>
        </w:tc>
        <w:tc>
          <w:tcPr>
            <w:tcW w:w="1692" w:type="dxa"/>
            <w:vMerge/>
            <w:vAlign w:val="center"/>
            <w:hideMark/>
          </w:tcPr>
          <w:p w14:paraId="31D3F9E7" w14:textId="77777777" w:rsidR="009A2AC6" w:rsidRPr="009A2AC6" w:rsidRDefault="009A2AC6" w:rsidP="009A2AC6">
            <w:pPr>
              <w:spacing w:after="0" w:line="240" w:lineRule="auto"/>
              <w:rPr>
                <w:rFonts w:ascii="Garamond" w:eastAsia="Times New Roman" w:hAnsi="Garamond" w:cs="Calibri"/>
                <w:b/>
                <w:bCs/>
                <w:color w:val="000000"/>
                <w:kern w:val="0"/>
                <w:sz w:val="24"/>
                <w:szCs w:val="24"/>
                <w:lang w:eastAsia="en-IN"/>
                <w14:ligatures w14:val="none"/>
              </w:rPr>
            </w:pPr>
          </w:p>
        </w:tc>
      </w:tr>
    </w:tbl>
    <w:p w14:paraId="59F85D68" w14:textId="77777777" w:rsidR="009A2AC6" w:rsidRDefault="009A2AC6" w:rsidP="00D94A4D">
      <w:pPr>
        <w:rPr>
          <w:rFonts w:ascii="Garamond" w:hAnsi="Garamond"/>
          <w:b/>
          <w:bCs/>
          <w:sz w:val="28"/>
          <w:szCs w:val="28"/>
        </w:rPr>
      </w:pPr>
    </w:p>
    <w:p w14:paraId="64E573E1" w14:textId="77777777" w:rsidR="009A2AC6" w:rsidRPr="004D67FF" w:rsidRDefault="009A2AC6" w:rsidP="009A2AC6">
      <w:pPr>
        <w:ind w:left="360"/>
        <w:jc w:val="center"/>
        <w:rPr>
          <w:rFonts w:ascii="Garamond" w:hAnsi="Garamond"/>
          <w:b/>
          <w:bCs/>
          <w:sz w:val="28"/>
          <w:szCs w:val="28"/>
        </w:rPr>
      </w:pPr>
      <w:r w:rsidRPr="004D67FF">
        <w:rPr>
          <w:rFonts w:ascii="Garamond" w:hAnsi="Garamond"/>
          <w:b/>
          <w:bCs/>
          <w:sz w:val="28"/>
          <w:szCs w:val="28"/>
        </w:rPr>
        <w:t>PROJECT SUBMITTED BY: - SANKALP EK PRAYAS</w:t>
      </w:r>
    </w:p>
    <w:p w14:paraId="16E74CF9" w14:textId="20556BFC" w:rsidR="00BF3975" w:rsidRDefault="00BF3975" w:rsidP="00D94A4D"/>
    <w:sectPr w:rsidR="00BF3975">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BEDF6B" w14:textId="77777777" w:rsidR="002A78B5" w:rsidRDefault="002A78B5" w:rsidP="003569B9">
      <w:pPr>
        <w:spacing w:after="0" w:line="240" w:lineRule="auto"/>
      </w:pPr>
      <w:r>
        <w:separator/>
      </w:r>
    </w:p>
  </w:endnote>
  <w:endnote w:type="continuationSeparator" w:id="0">
    <w:p w14:paraId="756DCE6B" w14:textId="77777777" w:rsidR="002A78B5" w:rsidRDefault="002A78B5" w:rsidP="003569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B129D9" w14:textId="77777777" w:rsidR="002A78B5" w:rsidRDefault="002A78B5" w:rsidP="003569B9">
      <w:pPr>
        <w:spacing w:after="0" w:line="240" w:lineRule="auto"/>
      </w:pPr>
      <w:r>
        <w:separator/>
      </w:r>
    </w:p>
  </w:footnote>
  <w:footnote w:type="continuationSeparator" w:id="0">
    <w:p w14:paraId="1C45C79E" w14:textId="77777777" w:rsidR="002A78B5" w:rsidRDefault="002A78B5" w:rsidP="003569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94F25" w14:textId="1D8EEE35" w:rsidR="003569B9" w:rsidRDefault="003569B9">
    <w:pPr>
      <w:pStyle w:val="Header"/>
    </w:pPr>
    <w:r w:rsidRPr="003569B9">
      <w:rPr>
        <w:noProof/>
      </w:rPr>
      <w:drawing>
        <wp:anchor distT="0" distB="0" distL="114300" distR="114300" simplePos="0" relativeHeight="251659264" behindDoc="1" locked="0" layoutInCell="1" allowOverlap="1" wp14:anchorId="0F55224D" wp14:editId="68CE74BB">
          <wp:simplePos x="0" y="0"/>
          <wp:positionH relativeFrom="margin">
            <wp:posOffset>-838200</wp:posOffset>
          </wp:positionH>
          <wp:positionV relativeFrom="paragraph">
            <wp:posOffset>-309880</wp:posOffset>
          </wp:positionV>
          <wp:extent cx="730250" cy="552450"/>
          <wp:effectExtent l="304800" t="304800" r="317500" b="323850"/>
          <wp:wrapTight wrapText="bothSides">
            <wp:wrapPolygon edited="0">
              <wp:start x="0" y="-11917"/>
              <wp:lineTo x="-9016" y="-10428"/>
              <wp:lineTo x="-8452" y="26069"/>
              <wp:lineTo x="-1127" y="32028"/>
              <wp:lineTo x="-563" y="33517"/>
              <wp:lineTo x="18031" y="33517"/>
              <wp:lineTo x="18595" y="32028"/>
              <wp:lineTo x="28174" y="25324"/>
              <wp:lineTo x="30428" y="13407"/>
              <wp:lineTo x="30428" y="1490"/>
              <wp:lineTo x="24793" y="-9683"/>
              <wp:lineTo x="24230" y="-11917"/>
              <wp:lineTo x="0" y="-11917"/>
            </wp:wrapPolygon>
          </wp:wrapTight>
          <wp:docPr id="237" name="Google Shape;237;p1"/>
          <wp:cNvGraphicFramePr/>
          <a:graphic xmlns:a="http://schemas.openxmlformats.org/drawingml/2006/main">
            <a:graphicData uri="http://schemas.openxmlformats.org/drawingml/2006/picture">
              <pic:pic xmlns:pic="http://schemas.openxmlformats.org/drawingml/2006/picture">
                <pic:nvPicPr>
                  <pic:cNvPr id="237" name="Google Shape;237;p1"/>
                  <pic:cNvPicPr preferRelativeResize="0"/>
                </pic:nvPicPr>
                <pic:blipFill rotWithShape="1">
                  <a:blip r:embed="rId1">
                    <a:alphaModFix/>
                    <a:extLst>
                      <a:ext uri="{28A0092B-C50C-407E-A947-70E740481C1C}">
                        <a14:useLocalDpi xmlns:a14="http://schemas.microsoft.com/office/drawing/2010/main" val="0"/>
                      </a:ext>
                    </a:extLst>
                  </a:blip>
                  <a:srcRect/>
                  <a:stretch/>
                </pic:blipFill>
                <pic:spPr>
                  <a:xfrm>
                    <a:off x="0" y="0"/>
                    <a:ext cx="730250" cy="552450"/>
                  </a:xfrm>
                  <a:prstGeom prst="round2DiagRect">
                    <a:avLst>
                      <a:gd name="adj1" fmla="val 16667"/>
                      <a:gd name="adj2" fmla="val 0"/>
                    </a:avLst>
                  </a:prstGeom>
                  <a:ln w="88900" cap="sq">
                    <a:solidFill>
                      <a:srgbClr val="FFFFFF"/>
                    </a:solidFill>
                    <a:miter lim="800000"/>
                  </a:ln>
                  <a:effectLst>
                    <a:outerShdw blurRad="254000" algn="tl" rotWithShape="0">
                      <a:srgbClr val="000000">
                        <a:alpha val="43000"/>
                      </a:srgbClr>
                    </a:outerShdw>
                  </a:effec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4379AF"/>
    <w:multiLevelType w:val="hybridMultilevel"/>
    <w:tmpl w:val="ABC2D13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70B06AD7"/>
    <w:multiLevelType w:val="hybridMultilevel"/>
    <w:tmpl w:val="2EDC01B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75631BDC"/>
    <w:multiLevelType w:val="hybridMultilevel"/>
    <w:tmpl w:val="794CBF8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389836573">
    <w:abstractNumId w:val="2"/>
  </w:num>
  <w:num w:numId="2" w16cid:durableId="1274362519">
    <w:abstractNumId w:val="1"/>
  </w:num>
  <w:num w:numId="3" w16cid:durableId="5542386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07E"/>
    <w:rsid w:val="000B192F"/>
    <w:rsid w:val="000B525F"/>
    <w:rsid w:val="001749DC"/>
    <w:rsid w:val="00255EB7"/>
    <w:rsid w:val="00257AFA"/>
    <w:rsid w:val="00290460"/>
    <w:rsid w:val="002A78B5"/>
    <w:rsid w:val="00353F55"/>
    <w:rsid w:val="003569B9"/>
    <w:rsid w:val="003B27E3"/>
    <w:rsid w:val="003B2C68"/>
    <w:rsid w:val="003F78B7"/>
    <w:rsid w:val="004B4618"/>
    <w:rsid w:val="00576F89"/>
    <w:rsid w:val="00577670"/>
    <w:rsid w:val="00587284"/>
    <w:rsid w:val="00673151"/>
    <w:rsid w:val="00707076"/>
    <w:rsid w:val="008C390F"/>
    <w:rsid w:val="00925734"/>
    <w:rsid w:val="009A2AC6"/>
    <w:rsid w:val="009B5CA4"/>
    <w:rsid w:val="00A25805"/>
    <w:rsid w:val="00A74C6C"/>
    <w:rsid w:val="00B03BD0"/>
    <w:rsid w:val="00B13985"/>
    <w:rsid w:val="00B97B2E"/>
    <w:rsid w:val="00BD2E6F"/>
    <w:rsid w:val="00BF3975"/>
    <w:rsid w:val="00CA2316"/>
    <w:rsid w:val="00CE588F"/>
    <w:rsid w:val="00CF656E"/>
    <w:rsid w:val="00D53673"/>
    <w:rsid w:val="00D90E31"/>
    <w:rsid w:val="00D94A4D"/>
    <w:rsid w:val="00DB636C"/>
    <w:rsid w:val="00E15A27"/>
    <w:rsid w:val="00E969F3"/>
    <w:rsid w:val="00EA3239"/>
    <w:rsid w:val="00EB7212"/>
    <w:rsid w:val="00ED0124"/>
    <w:rsid w:val="00ED107E"/>
    <w:rsid w:val="00F24B4E"/>
    <w:rsid w:val="00F86525"/>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C5B298"/>
  <w15:chartTrackingRefBased/>
  <w15:docId w15:val="{AB0D0667-636E-4DC2-8F13-9D3D16760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lang w:val="en-IN" w:eastAsia="en-US" w:bidi="hi-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Mangal"/>
    </w:rPr>
  </w:style>
  <w:style w:type="paragraph" w:styleId="Heading1">
    <w:name w:val="heading 1"/>
    <w:basedOn w:val="Normal"/>
    <w:next w:val="Normal"/>
    <w:link w:val="Heading1Char"/>
    <w:uiPriority w:val="9"/>
    <w:qFormat/>
    <w:rsid w:val="00ED107E"/>
    <w:pPr>
      <w:keepNext/>
      <w:keepLines/>
      <w:spacing w:before="360" w:after="80"/>
      <w:outlineLvl w:val="0"/>
    </w:pPr>
    <w:rPr>
      <w:rFonts w:asciiTheme="majorHAnsi" w:eastAsiaTheme="majorEastAsia" w:hAnsiTheme="majorHAnsi" w:cstheme="majorBidi"/>
      <w:color w:val="2E74B5" w:themeColor="accent1" w:themeShade="BF"/>
      <w:sz w:val="40"/>
      <w:szCs w:val="36"/>
    </w:rPr>
  </w:style>
  <w:style w:type="paragraph" w:styleId="Heading2">
    <w:name w:val="heading 2"/>
    <w:basedOn w:val="Normal"/>
    <w:next w:val="Normal"/>
    <w:link w:val="Heading2Char"/>
    <w:uiPriority w:val="9"/>
    <w:semiHidden/>
    <w:unhideWhenUsed/>
    <w:qFormat/>
    <w:rsid w:val="00ED107E"/>
    <w:pPr>
      <w:keepNext/>
      <w:keepLines/>
      <w:spacing w:before="160" w:after="80"/>
      <w:outlineLvl w:val="1"/>
    </w:pPr>
    <w:rPr>
      <w:rFonts w:asciiTheme="majorHAnsi" w:eastAsiaTheme="majorEastAsia" w:hAnsiTheme="majorHAnsi" w:cstheme="majorBidi"/>
      <w:color w:val="2E74B5" w:themeColor="accent1" w:themeShade="BF"/>
      <w:sz w:val="32"/>
      <w:szCs w:val="29"/>
    </w:rPr>
  </w:style>
  <w:style w:type="paragraph" w:styleId="Heading3">
    <w:name w:val="heading 3"/>
    <w:basedOn w:val="Normal"/>
    <w:next w:val="Normal"/>
    <w:link w:val="Heading3Char"/>
    <w:uiPriority w:val="9"/>
    <w:semiHidden/>
    <w:unhideWhenUsed/>
    <w:qFormat/>
    <w:rsid w:val="00ED107E"/>
    <w:pPr>
      <w:keepNext/>
      <w:keepLines/>
      <w:spacing w:before="160" w:after="80"/>
      <w:outlineLvl w:val="2"/>
    </w:pPr>
    <w:rPr>
      <w:rFonts w:eastAsiaTheme="majorEastAsia" w:cstheme="majorBidi"/>
      <w:color w:val="2E74B5" w:themeColor="accent1" w:themeShade="BF"/>
      <w:sz w:val="28"/>
      <w:szCs w:val="25"/>
    </w:rPr>
  </w:style>
  <w:style w:type="paragraph" w:styleId="Heading4">
    <w:name w:val="heading 4"/>
    <w:basedOn w:val="Normal"/>
    <w:next w:val="Normal"/>
    <w:link w:val="Heading4Char"/>
    <w:uiPriority w:val="9"/>
    <w:semiHidden/>
    <w:unhideWhenUsed/>
    <w:qFormat/>
    <w:rsid w:val="00ED107E"/>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ED107E"/>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ED107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D107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D107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D107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107E"/>
    <w:rPr>
      <w:rFonts w:asciiTheme="majorHAnsi" w:eastAsiaTheme="majorEastAsia" w:hAnsiTheme="majorHAnsi" w:cstheme="majorBidi"/>
      <w:color w:val="2E74B5" w:themeColor="accent1" w:themeShade="BF"/>
      <w:sz w:val="40"/>
      <w:szCs w:val="36"/>
    </w:rPr>
  </w:style>
  <w:style w:type="character" w:customStyle="1" w:styleId="Heading2Char">
    <w:name w:val="Heading 2 Char"/>
    <w:basedOn w:val="DefaultParagraphFont"/>
    <w:link w:val="Heading2"/>
    <w:uiPriority w:val="9"/>
    <w:semiHidden/>
    <w:rsid w:val="00ED107E"/>
    <w:rPr>
      <w:rFonts w:asciiTheme="majorHAnsi" w:eastAsiaTheme="majorEastAsia" w:hAnsiTheme="majorHAnsi" w:cstheme="majorBidi"/>
      <w:color w:val="2E74B5" w:themeColor="accent1" w:themeShade="BF"/>
      <w:sz w:val="32"/>
      <w:szCs w:val="29"/>
    </w:rPr>
  </w:style>
  <w:style w:type="character" w:customStyle="1" w:styleId="Heading3Char">
    <w:name w:val="Heading 3 Char"/>
    <w:basedOn w:val="DefaultParagraphFont"/>
    <w:link w:val="Heading3"/>
    <w:uiPriority w:val="9"/>
    <w:semiHidden/>
    <w:rsid w:val="00ED107E"/>
    <w:rPr>
      <w:rFonts w:eastAsiaTheme="majorEastAsia" w:cstheme="majorBidi"/>
      <w:color w:val="2E74B5" w:themeColor="accent1" w:themeShade="BF"/>
      <w:sz w:val="28"/>
      <w:szCs w:val="25"/>
    </w:rPr>
  </w:style>
  <w:style w:type="character" w:customStyle="1" w:styleId="Heading4Char">
    <w:name w:val="Heading 4 Char"/>
    <w:basedOn w:val="DefaultParagraphFont"/>
    <w:link w:val="Heading4"/>
    <w:uiPriority w:val="9"/>
    <w:semiHidden/>
    <w:rsid w:val="00ED107E"/>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ED107E"/>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ED107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D107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D107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D107E"/>
    <w:rPr>
      <w:rFonts w:eastAsiaTheme="majorEastAsia" w:cstheme="majorBidi"/>
      <w:color w:val="272727" w:themeColor="text1" w:themeTint="D8"/>
    </w:rPr>
  </w:style>
  <w:style w:type="paragraph" w:styleId="Title">
    <w:name w:val="Title"/>
    <w:basedOn w:val="Normal"/>
    <w:next w:val="Normal"/>
    <w:link w:val="TitleChar"/>
    <w:uiPriority w:val="10"/>
    <w:qFormat/>
    <w:rsid w:val="00ED107E"/>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ED107E"/>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ED107E"/>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ED107E"/>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ED107E"/>
    <w:pPr>
      <w:spacing w:before="160"/>
      <w:jc w:val="center"/>
    </w:pPr>
    <w:rPr>
      <w:i/>
      <w:iCs/>
      <w:color w:val="404040" w:themeColor="text1" w:themeTint="BF"/>
    </w:rPr>
  </w:style>
  <w:style w:type="character" w:customStyle="1" w:styleId="QuoteChar">
    <w:name w:val="Quote Char"/>
    <w:basedOn w:val="DefaultParagraphFont"/>
    <w:link w:val="Quote"/>
    <w:uiPriority w:val="29"/>
    <w:rsid w:val="00ED107E"/>
    <w:rPr>
      <w:rFonts w:cs="Mangal"/>
      <w:i/>
      <w:iCs/>
      <w:color w:val="404040" w:themeColor="text1" w:themeTint="BF"/>
    </w:rPr>
  </w:style>
  <w:style w:type="paragraph" w:styleId="ListParagraph">
    <w:name w:val="List Paragraph"/>
    <w:basedOn w:val="Normal"/>
    <w:uiPriority w:val="34"/>
    <w:qFormat/>
    <w:rsid w:val="00ED107E"/>
    <w:pPr>
      <w:ind w:left="720"/>
      <w:contextualSpacing/>
    </w:pPr>
  </w:style>
  <w:style w:type="character" w:styleId="IntenseEmphasis">
    <w:name w:val="Intense Emphasis"/>
    <w:basedOn w:val="DefaultParagraphFont"/>
    <w:uiPriority w:val="21"/>
    <w:qFormat/>
    <w:rsid w:val="00ED107E"/>
    <w:rPr>
      <w:i/>
      <w:iCs/>
      <w:color w:val="2E74B5" w:themeColor="accent1" w:themeShade="BF"/>
    </w:rPr>
  </w:style>
  <w:style w:type="paragraph" w:styleId="IntenseQuote">
    <w:name w:val="Intense Quote"/>
    <w:basedOn w:val="Normal"/>
    <w:next w:val="Normal"/>
    <w:link w:val="IntenseQuoteChar"/>
    <w:uiPriority w:val="30"/>
    <w:qFormat/>
    <w:rsid w:val="00ED107E"/>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ED107E"/>
    <w:rPr>
      <w:rFonts w:cs="Mangal"/>
      <w:i/>
      <w:iCs/>
      <w:color w:val="2E74B5" w:themeColor="accent1" w:themeShade="BF"/>
    </w:rPr>
  </w:style>
  <w:style w:type="character" w:styleId="IntenseReference">
    <w:name w:val="Intense Reference"/>
    <w:basedOn w:val="DefaultParagraphFont"/>
    <w:uiPriority w:val="32"/>
    <w:qFormat/>
    <w:rsid w:val="00ED107E"/>
    <w:rPr>
      <w:b/>
      <w:bCs/>
      <w:smallCaps/>
      <w:color w:val="2E74B5" w:themeColor="accent1" w:themeShade="BF"/>
      <w:spacing w:val="5"/>
    </w:rPr>
  </w:style>
  <w:style w:type="table" w:styleId="TableGrid">
    <w:name w:val="Table Grid"/>
    <w:basedOn w:val="TableNormal"/>
    <w:uiPriority w:val="39"/>
    <w:rsid w:val="00A258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569B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569B9"/>
    <w:rPr>
      <w:rFonts w:cs="Mangal"/>
    </w:rPr>
  </w:style>
  <w:style w:type="paragraph" w:styleId="Footer">
    <w:name w:val="footer"/>
    <w:basedOn w:val="Normal"/>
    <w:link w:val="FooterChar"/>
    <w:uiPriority w:val="99"/>
    <w:unhideWhenUsed/>
    <w:rsid w:val="003569B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569B9"/>
    <w:rPr>
      <w:rFonts w:cs="Mang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3070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2</Pages>
  <Words>474</Words>
  <Characters>2708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ajk.dheera@outlook.com</dc:creator>
  <cp:keywords/>
  <dc:description/>
  <cp:lastModifiedBy>Ranjani Kumar</cp:lastModifiedBy>
  <cp:revision>6</cp:revision>
  <cp:lastPrinted>2025-05-05T02:03:00Z</cp:lastPrinted>
  <dcterms:created xsi:type="dcterms:W3CDTF">2025-05-03T12:35:00Z</dcterms:created>
  <dcterms:modified xsi:type="dcterms:W3CDTF">2025-08-25T00:17:00Z</dcterms:modified>
</cp:coreProperties>
</file>